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37D" w:rsidRPr="002F537D" w:rsidRDefault="00222D15" w:rsidP="002F537D">
      <w:pPr>
        <w:widowControl w:val="0"/>
        <w:spacing w:before="100" w:beforeAutospacing="1" w:after="100" w:afterAutospacing="1" w:line="360" w:lineRule="auto"/>
        <w:ind w:right="49"/>
        <w:jc w:val="both"/>
        <w:rPr>
          <w:rFonts w:ascii="Palatino Linotype" w:hAnsi="Palatino Linotype" w:cs="Arial"/>
          <w:b/>
          <w:bCs/>
          <w:sz w:val="24"/>
          <w:szCs w:val="24"/>
        </w:rPr>
      </w:pPr>
      <w:r w:rsidRPr="009F71D8">
        <w:rPr>
          <w:rFonts w:ascii="Palatino Linotype" w:hAnsi="Palatino Linotype" w:cs="Arial"/>
          <w:b/>
          <w:sz w:val="24"/>
          <w:szCs w:val="24"/>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46713B">
        <w:rPr>
          <w:rFonts w:ascii="Palatino Linotype" w:hAnsi="Palatino Linotype" w:cs="Arial"/>
          <w:b/>
          <w:sz w:val="24"/>
          <w:szCs w:val="24"/>
        </w:rPr>
        <w:t>PRIMERA</w:t>
      </w:r>
      <w:r w:rsidRPr="009F71D8">
        <w:rPr>
          <w:rFonts w:ascii="Palatino Linotype" w:hAnsi="Palatino Linotype" w:cs="Arial"/>
          <w:b/>
          <w:sz w:val="24"/>
          <w:szCs w:val="24"/>
        </w:rPr>
        <w:t xml:space="preserve"> SESIÓN ORDINARIA DE </w:t>
      </w:r>
      <w:r w:rsidR="0046713B">
        <w:rPr>
          <w:rFonts w:ascii="Palatino Linotype" w:hAnsi="Palatino Linotype" w:cs="Arial"/>
          <w:b/>
          <w:sz w:val="24"/>
          <w:szCs w:val="24"/>
        </w:rPr>
        <w:t>NUEVE DE ENERO</w:t>
      </w:r>
      <w:r w:rsidRPr="009F71D8">
        <w:rPr>
          <w:rFonts w:ascii="Palatino Linotype" w:hAnsi="Palatino Linotype" w:cs="Arial"/>
          <w:b/>
          <w:sz w:val="24"/>
          <w:szCs w:val="24"/>
        </w:rPr>
        <w:t xml:space="preserve"> DE DOS MIL </w:t>
      </w:r>
      <w:r w:rsidR="0046713B">
        <w:rPr>
          <w:rFonts w:ascii="Palatino Linotype" w:hAnsi="Palatino Linotype" w:cs="Arial"/>
          <w:b/>
          <w:sz w:val="24"/>
          <w:szCs w:val="24"/>
        </w:rPr>
        <w:t>DIECINUEVE</w:t>
      </w:r>
      <w:r w:rsidRPr="009F71D8">
        <w:rPr>
          <w:rFonts w:ascii="Palatino Linotype" w:hAnsi="Palatino Linotype" w:cs="Arial"/>
          <w:b/>
          <w:sz w:val="24"/>
          <w:szCs w:val="24"/>
        </w:rPr>
        <w:t xml:space="preserve">, EN EL RECURSO DE REVISIÓN </w:t>
      </w:r>
      <w:r w:rsidR="0046713B">
        <w:rPr>
          <w:rFonts w:ascii="Palatino Linotype" w:hAnsi="Palatino Linotype" w:cs="Arial"/>
          <w:b/>
          <w:bCs/>
          <w:sz w:val="24"/>
          <w:szCs w:val="24"/>
        </w:rPr>
        <w:t>03974</w:t>
      </w:r>
      <w:r w:rsidRPr="009F71D8">
        <w:rPr>
          <w:rFonts w:ascii="Palatino Linotype" w:hAnsi="Palatino Linotype" w:cs="Arial"/>
          <w:b/>
          <w:bCs/>
          <w:sz w:val="24"/>
          <w:szCs w:val="24"/>
        </w:rPr>
        <w:t>/INFOEM/IP/RR/201</w:t>
      </w:r>
      <w:r w:rsidR="00ED22F1">
        <w:rPr>
          <w:rFonts w:ascii="Palatino Linotype" w:hAnsi="Palatino Linotype" w:cs="Arial"/>
          <w:b/>
          <w:bCs/>
          <w:sz w:val="24"/>
          <w:szCs w:val="24"/>
        </w:rPr>
        <w:t>8</w:t>
      </w:r>
      <w:r w:rsidRPr="009F71D8">
        <w:rPr>
          <w:rFonts w:ascii="Palatino Linotype" w:hAnsi="Palatino Linotype" w:cs="Arial"/>
          <w:b/>
          <w:bCs/>
          <w:sz w:val="24"/>
          <w:szCs w:val="24"/>
        </w:rPr>
        <w:t>.</w:t>
      </w:r>
    </w:p>
    <w:p w:rsidR="00222D15" w:rsidRPr="009F71D8" w:rsidRDefault="00222D15" w:rsidP="002F537D">
      <w:pPr>
        <w:spacing w:before="100" w:beforeAutospacing="1" w:after="100" w:afterAutospacing="1" w:line="360" w:lineRule="auto"/>
        <w:ind w:right="49"/>
        <w:jc w:val="both"/>
        <w:rPr>
          <w:rFonts w:ascii="Palatino Linotype" w:hAnsi="Palatino Linotype" w:cs="Arial"/>
          <w:sz w:val="24"/>
          <w:szCs w:val="24"/>
        </w:rPr>
      </w:pPr>
      <w:r w:rsidRPr="009F71D8">
        <w:rPr>
          <w:rFonts w:ascii="Palatino Linotype" w:hAnsi="Palatino Linotype" w:cs="Arial"/>
          <w:sz w:val="24"/>
          <w:szCs w:val="24"/>
        </w:rPr>
        <w:t>Con fundamento en lo dispuesto por el artículo 14</w:t>
      </w:r>
      <w:r w:rsidR="00A85D7A">
        <w:rPr>
          <w:rFonts w:ascii="Palatino Linotype" w:hAnsi="Palatino Linotype" w:cs="Arial"/>
          <w:sz w:val="24"/>
          <w:szCs w:val="24"/>
        </w:rPr>
        <w:t>,</w:t>
      </w:r>
      <w:r w:rsidRPr="009F71D8">
        <w:rPr>
          <w:rFonts w:ascii="Palatino Linotype" w:hAnsi="Palatino Linotype" w:cs="Arial"/>
          <w:sz w:val="24"/>
          <w:szCs w:val="24"/>
        </w:rPr>
        <w:t xml:space="preserve"> fracciones X y XI del Reglamento Interior del Instituto de Transparencia, Acceso a la Información Pública y Protección de Datos Personales del Estado de México y Municipios, la que suscribe</w:t>
      </w:r>
      <w:r w:rsidRPr="009F71D8">
        <w:rPr>
          <w:rFonts w:ascii="Palatino Linotype" w:hAnsi="Palatino Linotype" w:cs="Arial"/>
          <w:b/>
          <w:sz w:val="24"/>
          <w:szCs w:val="24"/>
          <w:lang w:val="es-ES_tradnl"/>
        </w:rPr>
        <w:t xml:space="preserve"> </w:t>
      </w:r>
      <w:r w:rsidRPr="009F71D8">
        <w:rPr>
          <w:rFonts w:ascii="Palatino Linotype" w:hAnsi="Palatino Linotype" w:cs="Arial"/>
          <w:b/>
          <w:sz w:val="24"/>
          <w:szCs w:val="24"/>
        </w:rPr>
        <w:t xml:space="preserve">EVA ABAID YAPUR </w:t>
      </w:r>
      <w:r w:rsidRPr="009F71D8">
        <w:rPr>
          <w:rFonts w:ascii="Palatino Linotype" w:hAnsi="Palatino Linotype" w:cs="Arial"/>
          <w:sz w:val="24"/>
          <w:szCs w:val="24"/>
        </w:rPr>
        <w:t xml:space="preserve">emite </w:t>
      </w:r>
      <w:r w:rsidRPr="009F71D8">
        <w:rPr>
          <w:rFonts w:ascii="Palatino Linotype" w:hAnsi="Palatino Linotype" w:cs="Arial"/>
          <w:b/>
          <w:sz w:val="24"/>
          <w:szCs w:val="24"/>
        </w:rPr>
        <w:t xml:space="preserve">VOTO PARTICULAR </w:t>
      </w:r>
      <w:r w:rsidRPr="009F71D8">
        <w:rPr>
          <w:rFonts w:ascii="Palatino Linotype" w:hAnsi="Palatino Linotype" w:cs="Arial"/>
          <w:sz w:val="24"/>
          <w:szCs w:val="24"/>
        </w:rPr>
        <w:t xml:space="preserve">respecto de la resolución dictada en el recurso de revisión </w:t>
      </w:r>
      <w:r w:rsidR="0046713B">
        <w:rPr>
          <w:rFonts w:ascii="Palatino Linotype" w:hAnsi="Palatino Linotype" w:cs="Arial"/>
          <w:b/>
          <w:bCs/>
          <w:sz w:val="24"/>
          <w:szCs w:val="24"/>
        </w:rPr>
        <w:t>03974</w:t>
      </w:r>
      <w:r w:rsidR="00ED22F1">
        <w:rPr>
          <w:rFonts w:ascii="Palatino Linotype" w:hAnsi="Palatino Linotype" w:cs="Arial"/>
          <w:b/>
          <w:bCs/>
          <w:sz w:val="24"/>
          <w:szCs w:val="24"/>
        </w:rPr>
        <w:t>/INFOEM/IP/RR/2018</w:t>
      </w:r>
      <w:r w:rsidRPr="009F71D8">
        <w:rPr>
          <w:rFonts w:ascii="Palatino Linotype" w:hAnsi="Palatino Linotype" w:cs="Arial"/>
          <w:sz w:val="24"/>
          <w:szCs w:val="24"/>
        </w:rPr>
        <w:t>, pronunciada por el Pleno de este Instituto an</w:t>
      </w:r>
      <w:r w:rsidR="001354EB">
        <w:rPr>
          <w:rFonts w:ascii="Palatino Linotype" w:hAnsi="Palatino Linotype" w:cs="Arial"/>
          <w:sz w:val="24"/>
          <w:szCs w:val="24"/>
        </w:rPr>
        <w:t>te el proyecto presentado por el Comisionado</w:t>
      </w:r>
      <w:r w:rsidRPr="009F71D8">
        <w:rPr>
          <w:rFonts w:ascii="Palatino Linotype" w:hAnsi="Palatino Linotype" w:cs="Arial"/>
          <w:sz w:val="24"/>
          <w:szCs w:val="24"/>
        </w:rPr>
        <w:t xml:space="preserve"> </w:t>
      </w:r>
      <w:r w:rsidR="0046713B">
        <w:rPr>
          <w:rFonts w:ascii="Palatino Linotype" w:hAnsi="Palatino Linotype" w:cs="Arial"/>
          <w:b/>
          <w:sz w:val="24"/>
          <w:szCs w:val="24"/>
        </w:rPr>
        <w:t>JAVIER MARTÍNEZ CRUZ</w:t>
      </w:r>
      <w:r w:rsidRPr="009F71D8">
        <w:rPr>
          <w:rFonts w:ascii="Palatino Linotype" w:hAnsi="Palatino Linotype" w:cs="Arial"/>
          <w:sz w:val="24"/>
          <w:szCs w:val="24"/>
        </w:rPr>
        <w:t>, que es del tenor siguiente.</w:t>
      </w:r>
    </w:p>
    <w:p w:rsidR="00222D15" w:rsidRPr="009F71D8" w:rsidRDefault="00222D15" w:rsidP="002F537D">
      <w:pPr>
        <w:spacing w:before="100" w:beforeAutospacing="1" w:after="100" w:afterAutospacing="1" w:line="360" w:lineRule="auto"/>
        <w:ind w:right="49"/>
        <w:jc w:val="both"/>
        <w:rPr>
          <w:rFonts w:ascii="Palatino Linotype" w:hAnsi="Palatino Linotype"/>
          <w:sz w:val="24"/>
          <w:szCs w:val="24"/>
        </w:rPr>
      </w:pPr>
      <w:r w:rsidRPr="009F71D8">
        <w:rPr>
          <w:rFonts w:ascii="Palatino Linotype" w:hAnsi="Palatino Linotype"/>
          <w:sz w:val="24"/>
          <w:szCs w:val="24"/>
        </w:rPr>
        <w:t xml:space="preserve">Es de destacar, que la suscrita comparte esencialmente el </w:t>
      </w:r>
      <w:r>
        <w:rPr>
          <w:rFonts w:ascii="Palatino Linotype" w:hAnsi="Palatino Linotype"/>
          <w:sz w:val="24"/>
          <w:szCs w:val="24"/>
        </w:rPr>
        <w:t xml:space="preserve">sentido de la resolución </w:t>
      </w:r>
      <w:r w:rsidRPr="009F71D8">
        <w:rPr>
          <w:rFonts w:ascii="Palatino Linotype" w:hAnsi="Palatino Linotype"/>
          <w:sz w:val="24"/>
          <w:szCs w:val="24"/>
        </w:rPr>
        <w:t xml:space="preserve">del </w:t>
      </w:r>
      <w:proofErr w:type="gramStart"/>
      <w:r w:rsidRPr="009F71D8">
        <w:rPr>
          <w:rFonts w:ascii="Palatino Linotype" w:hAnsi="Palatino Linotype"/>
          <w:sz w:val="24"/>
          <w:szCs w:val="24"/>
        </w:rPr>
        <w:t>rec</w:t>
      </w:r>
      <w:r w:rsidR="00642D83">
        <w:rPr>
          <w:rFonts w:ascii="Palatino Linotype" w:hAnsi="Palatino Linotype"/>
          <w:sz w:val="24"/>
          <w:szCs w:val="24"/>
        </w:rPr>
        <w:t>urso</w:t>
      </w:r>
      <w:proofErr w:type="gramEnd"/>
      <w:r w:rsidR="00642D83">
        <w:rPr>
          <w:rFonts w:ascii="Palatino Linotype" w:hAnsi="Palatino Linotype"/>
          <w:sz w:val="24"/>
          <w:szCs w:val="24"/>
        </w:rPr>
        <w:t xml:space="preserve"> de revisión; empero, estimo</w:t>
      </w:r>
      <w:r w:rsidRPr="009F71D8">
        <w:rPr>
          <w:rFonts w:ascii="Palatino Linotype" w:hAnsi="Palatino Linotype"/>
          <w:sz w:val="24"/>
          <w:szCs w:val="24"/>
        </w:rPr>
        <w:t xml:space="preserve"> necesario precisar algunas consideraciones de hecho y de derecho.</w:t>
      </w:r>
    </w:p>
    <w:p w:rsidR="00222D15" w:rsidRDefault="00222D15" w:rsidP="002F537D">
      <w:pPr>
        <w:spacing w:before="100" w:beforeAutospacing="1" w:after="100" w:afterAutospacing="1" w:line="360" w:lineRule="auto"/>
        <w:jc w:val="both"/>
        <w:rPr>
          <w:rFonts w:ascii="Palatino Linotype" w:hAnsi="Palatino Linotype"/>
          <w:sz w:val="24"/>
          <w:szCs w:val="24"/>
        </w:rPr>
      </w:pPr>
      <w:r w:rsidRPr="009F71D8">
        <w:rPr>
          <w:rFonts w:ascii="Palatino Linotype" w:hAnsi="Palatino Linotype"/>
          <w:sz w:val="24"/>
          <w:szCs w:val="24"/>
        </w:rPr>
        <w:t>Al respecto, tal y como quedó debidamente asentado en la resoluc</w:t>
      </w:r>
      <w:r>
        <w:rPr>
          <w:rFonts w:ascii="Palatino Linotype" w:hAnsi="Palatino Linotype"/>
          <w:sz w:val="24"/>
          <w:szCs w:val="24"/>
        </w:rPr>
        <w:t>i</w:t>
      </w:r>
      <w:r w:rsidR="00E43478">
        <w:rPr>
          <w:rFonts w:ascii="Palatino Linotype" w:hAnsi="Palatino Linotype"/>
          <w:sz w:val="24"/>
          <w:szCs w:val="24"/>
        </w:rPr>
        <w:t>ón materia del presente voto, el</w:t>
      </w:r>
      <w:r w:rsidR="00352721">
        <w:rPr>
          <w:rFonts w:ascii="Palatino Linotype" w:hAnsi="Palatino Linotype"/>
          <w:sz w:val="24"/>
          <w:szCs w:val="24"/>
        </w:rPr>
        <w:t xml:space="preserve"> particular requirió de</w:t>
      </w:r>
      <w:r w:rsidR="001354EB">
        <w:rPr>
          <w:rFonts w:ascii="Palatino Linotype" w:hAnsi="Palatino Linotype"/>
          <w:sz w:val="24"/>
          <w:szCs w:val="24"/>
        </w:rPr>
        <w:t>l</w:t>
      </w:r>
      <w:r w:rsidR="00352721">
        <w:rPr>
          <w:rFonts w:ascii="Palatino Linotype" w:hAnsi="Palatino Linotype"/>
          <w:sz w:val="24"/>
          <w:szCs w:val="24"/>
        </w:rPr>
        <w:t xml:space="preserve"> </w:t>
      </w:r>
      <w:r w:rsidR="001354EB" w:rsidRPr="00ED22F1">
        <w:rPr>
          <w:rFonts w:ascii="Palatino Linotype" w:hAnsi="Palatino Linotype" w:cs="Tahoma"/>
          <w:bCs/>
          <w:color w:val="0D0D0D" w:themeColor="text1" w:themeTint="F2"/>
          <w:sz w:val="24"/>
          <w:szCs w:val="24"/>
        </w:rPr>
        <w:t xml:space="preserve">Ayuntamiento de </w:t>
      </w:r>
      <w:proofErr w:type="spellStart"/>
      <w:r w:rsidR="001354EB" w:rsidRPr="00ED22F1">
        <w:rPr>
          <w:rFonts w:ascii="Palatino Linotype" w:hAnsi="Palatino Linotype" w:cs="Tahoma"/>
          <w:bCs/>
          <w:color w:val="0D0D0D" w:themeColor="text1" w:themeTint="F2"/>
          <w:sz w:val="24"/>
          <w:szCs w:val="24"/>
        </w:rPr>
        <w:t>Mexicaltzingo</w:t>
      </w:r>
      <w:proofErr w:type="spellEnd"/>
      <w:r w:rsidR="004773D0">
        <w:rPr>
          <w:rFonts w:ascii="Palatino Linotype" w:hAnsi="Palatino Linotype"/>
          <w:sz w:val="24"/>
          <w:szCs w:val="24"/>
        </w:rPr>
        <w:t>,</w:t>
      </w:r>
      <w:r w:rsidR="00352721">
        <w:rPr>
          <w:rFonts w:ascii="Palatino Linotype" w:hAnsi="Palatino Linotype"/>
          <w:sz w:val="24"/>
          <w:szCs w:val="24"/>
        </w:rPr>
        <w:t xml:space="preserve"> en lo sucesivo </w:t>
      </w:r>
      <w:r w:rsidR="00352721" w:rsidRPr="00352721">
        <w:rPr>
          <w:rFonts w:ascii="Palatino Linotype" w:hAnsi="Palatino Linotype"/>
          <w:b/>
          <w:sz w:val="24"/>
          <w:szCs w:val="24"/>
        </w:rPr>
        <w:t>EL</w:t>
      </w:r>
      <w:r w:rsidRPr="009F71D8">
        <w:rPr>
          <w:rFonts w:ascii="Palatino Linotype" w:hAnsi="Palatino Linotype"/>
          <w:sz w:val="24"/>
          <w:szCs w:val="24"/>
        </w:rPr>
        <w:t xml:space="preserve"> </w:t>
      </w:r>
      <w:r w:rsidRPr="009F71D8">
        <w:rPr>
          <w:rFonts w:ascii="Palatino Linotype" w:hAnsi="Palatino Linotype"/>
          <w:b/>
          <w:sz w:val="24"/>
          <w:szCs w:val="24"/>
        </w:rPr>
        <w:t>SUJETO OBLIGADO,</w:t>
      </w:r>
      <w:r w:rsidRPr="009F71D8">
        <w:rPr>
          <w:rFonts w:ascii="Palatino Linotype" w:hAnsi="Palatino Linotype"/>
          <w:sz w:val="24"/>
          <w:szCs w:val="24"/>
        </w:rPr>
        <w:t xml:space="preserve"> </w:t>
      </w:r>
      <w:r w:rsidR="001354EB">
        <w:rPr>
          <w:rFonts w:ascii="Palatino Linotype" w:hAnsi="Palatino Linotype"/>
          <w:sz w:val="24"/>
          <w:szCs w:val="24"/>
        </w:rPr>
        <w:t>lo siguiente:</w:t>
      </w:r>
    </w:p>
    <w:p w:rsidR="001354EB" w:rsidRDefault="001354EB" w:rsidP="001354EB">
      <w:pPr>
        <w:tabs>
          <w:tab w:val="left" w:pos="4667"/>
        </w:tabs>
        <w:spacing w:line="240" w:lineRule="auto"/>
        <w:ind w:left="851" w:right="899"/>
        <w:jc w:val="both"/>
        <w:rPr>
          <w:rFonts w:ascii="Palatino Linotype" w:hAnsi="Palatino Linotype" w:cs="Tahoma"/>
          <w:bCs/>
          <w:i/>
        </w:rPr>
      </w:pPr>
      <w:r w:rsidRPr="001354EB">
        <w:rPr>
          <w:rFonts w:ascii="Palatino Linotype" w:hAnsi="Palatino Linotype" w:cs="Tahoma"/>
          <w:bCs/>
          <w:i/>
        </w:rPr>
        <w:lastRenderedPageBreak/>
        <w:t>“</w:t>
      </w:r>
      <w:r w:rsidR="00534C05" w:rsidRPr="00F8373A">
        <w:rPr>
          <w:rFonts w:ascii="Palatino Linotype" w:eastAsia="Palatino Linotype" w:hAnsi="Palatino Linotype" w:cs="Palatino Linotype"/>
          <w:i/>
        </w:rPr>
        <w:t>Solicito que sea proporcionada la información descrita en las fracciones II, VIII, X, XII, XXV, XXVI, XXVIII, XXX, XXXV, XXXVIII, XL, XLVII del artículo 92 de la Ley de Transparencia, Acceso a la Información Pública del Estado de México y Municipios (LTAIPEMM); así como la descrita en el artículo 94, fracción I, inciso b), d) y f); de la ley en cuestión. Se adjunta solicitud</w:t>
      </w:r>
      <w:r w:rsidRPr="001354EB">
        <w:rPr>
          <w:rFonts w:ascii="Palatino Linotype" w:hAnsi="Palatino Linotype" w:cs="Tahoma"/>
          <w:bCs/>
          <w:i/>
        </w:rPr>
        <w:t>.” (Sic.)</w:t>
      </w:r>
    </w:p>
    <w:p w:rsidR="001354EB" w:rsidRPr="001354EB" w:rsidRDefault="001354EB" w:rsidP="001354EB">
      <w:pPr>
        <w:tabs>
          <w:tab w:val="left" w:pos="4667"/>
        </w:tabs>
        <w:spacing w:line="240" w:lineRule="auto"/>
        <w:ind w:left="851" w:right="899"/>
        <w:jc w:val="both"/>
        <w:rPr>
          <w:rFonts w:ascii="Palatino Linotype" w:hAnsi="Palatino Linotype" w:cs="Tahoma"/>
          <w:bCs/>
          <w:i/>
        </w:rPr>
      </w:pPr>
    </w:p>
    <w:p w:rsidR="001354EB" w:rsidRDefault="00222D15" w:rsidP="002F537D">
      <w:pPr>
        <w:spacing w:before="100" w:beforeAutospacing="1" w:after="100" w:afterAutospacing="1" w:line="360" w:lineRule="auto"/>
        <w:ind w:right="49"/>
        <w:jc w:val="both"/>
        <w:rPr>
          <w:rFonts w:ascii="Palatino Linotype" w:hAnsi="Palatino Linotype" w:cs="Arial"/>
          <w:sz w:val="24"/>
          <w:szCs w:val="24"/>
        </w:rPr>
      </w:pPr>
      <w:r>
        <w:rPr>
          <w:rFonts w:ascii="Palatino Linotype" w:hAnsi="Palatino Linotype" w:cs="Arial"/>
          <w:sz w:val="24"/>
          <w:szCs w:val="24"/>
        </w:rPr>
        <w:t xml:space="preserve">Así, </w:t>
      </w:r>
      <w:r w:rsidR="00E97C45">
        <w:rPr>
          <w:rFonts w:ascii="Palatino Linotype" w:hAnsi="Palatino Linotype" w:cs="Arial"/>
          <w:sz w:val="24"/>
          <w:szCs w:val="24"/>
        </w:rPr>
        <w:t xml:space="preserve">se advierte dentro del expediente electrónico del SAIMEX, que </w:t>
      </w:r>
      <w:r w:rsidR="00E97C45" w:rsidRPr="00E97C45">
        <w:rPr>
          <w:rFonts w:ascii="Palatino Linotype" w:hAnsi="Palatino Linotype" w:cs="Arial"/>
          <w:b/>
          <w:sz w:val="24"/>
          <w:szCs w:val="24"/>
        </w:rPr>
        <w:t>EL SUJETO OBLIGADO</w:t>
      </w:r>
      <w:r w:rsidR="00E97C45">
        <w:rPr>
          <w:rFonts w:ascii="Palatino Linotype" w:hAnsi="Palatino Linotype" w:cs="Arial"/>
          <w:b/>
          <w:sz w:val="24"/>
          <w:szCs w:val="24"/>
        </w:rPr>
        <w:t xml:space="preserve"> </w:t>
      </w:r>
      <w:r w:rsidR="00534C05">
        <w:rPr>
          <w:rFonts w:ascii="Palatino Linotype" w:hAnsi="Palatino Linotype" w:cs="Arial"/>
          <w:sz w:val="24"/>
          <w:szCs w:val="24"/>
        </w:rPr>
        <w:t>emitió su respuesta, manifestando que dicha información la podía encontrar dentro de la liga electrónica que remitió</w:t>
      </w:r>
      <w:r w:rsidR="00E97C45">
        <w:rPr>
          <w:rFonts w:ascii="Palatino Linotype" w:hAnsi="Palatino Linotype" w:cs="Arial"/>
          <w:sz w:val="24"/>
          <w:szCs w:val="24"/>
        </w:rPr>
        <w:t>.</w:t>
      </w:r>
    </w:p>
    <w:p w:rsidR="00E97C45" w:rsidRPr="00E97C45" w:rsidRDefault="00A85D7A" w:rsidP="002F537D">
      <w:pPr>
        <w:spacing w:before="100" w:beforeAutospacing="1" w:after="100" w:afterAutospacing="1" w:line="360" w:lineRule="auto"/>
        <w:ind w:right="49"/>
        <w:jc w:val="both"/>
        <w:rPr>
          <w:rFonts w:ascii="Palatino Linotype" w:hAnsi="Palatino Linotype" w:cs="Arial"/>
          <w:sz w:val="24"/>
          <w:szCs w:val="24"/>
        </w:rPr>
      </w:pPr>
      <w:r>
        <w:rPr>
          <w:rFonts w:ascii="Palatino Linotype" w:hAnsi="Palatino Linotype" w:cs="Arial"/>
          <w:sz w:val="24"/>
          <w:szCs w:val="24"/>
        </w:rPr>
        <w:t>Inconforme con la</w:t>
      </w:r>
      <w:r w:rsidR="00E97C45">
        <w:rPr>
          <w:rFonts w:ascii="Palatino Linotype" w:hAnsi="Palatino Linotype" w:cs="Arial"/>
          <w:sz w:val="24"/>
          <w:szCs w:val="24"/>
        </w:rPr>
        <w:t xml:space="preserve"> respuesta, el particular interpuso el recurso de revisión de mérito, manifestando medularmente como razones o motivos de inconformidad </w:t>
      </w:r>
      <w:r w:rsidR="00534C05">
        <w:rPr>
          <w:rFonts w:ascii="Palatino Linotype" w:hAnsi="Palatino Linotype" w:cs="Arial"/>
          <w:sz w:val="24"/>
          <w:szCs w:val="24"/>
        </w:rPr>
        <w:t>que la información remitida se encontraba incompleta</w:t>
      </w:r>
      <w:r w:rsidR="00E97C45">
        <w:rPr>
          <w:rFonts w:ascii="Palatino Linotype" w:hAnsi="Palatino Linotype" w:cs="Arial"/>
          <w:sz w:val="24"/>
          <w:szCs w:val="24"/>
        </w:rPr>
        <w:t>.</w:t>
      </w:r>
    </w:p>
    <w:p w:rsidR="00222D15" w:rsidRDefault="00222D15" w:rsidP="002F537D">
      <w:pPr>
        <w:spacing w:before="100" w:beforeAutospacing="1" w:after="100" w:afterAutospacing="1" w:line="360" w:lineRule="auto"/>
        <w:ind w:right="49"/>
        <w:jc w:val="both"/>
        <w:rPr>
          <w:rFonts w:ascii="Palatino Linotype" w:hAnsi="Palatino Linotype" w:cs="Arial"/>
          <w:sz w:val="24"/>
          <w:szCs w:val="24"/>
        </w:rPr>
      </w:pPr>
      <w:r w:rsidRPr="009F71D8">
        <w:rPr>
          <w:rFonts w:ascii="Palatino Linotype" w:hAnsi="Palatino Linotype" w:cs="Arial"/>
          <w:sz w:val="24"/>
          <w:szCs w:val="24"/>
        </w:rPr>
        <w:t xml:space="preserve">Bajo ese tenor, del análisis a las constancias que obran en el </w:t>
      </w:r>
      <w:r>
        <w:rPr>
          <w:rFonts w:ascii="Palatino Linotype" w:hAnsi="Palatino Linotype" w:cs="Arial"/>
          <w:sz w:val="24"/>
          <w:szCs w:val="24"/>
        </w:rPr>
        <w:t>SAIMEX</w:t>
      </w:r>
      <w:r w:rsidRPr="009F71D8">
        <w:rPr>
          <w:rFonts w:ascii="Palatino Linotype" w:hAnsi="Palatino Linotype" w:cs="Arial"/>
          <w:sz w:val="24"/>
          <w:szCs w:val="24"/>
        </w:rPr>
        <w:t xml:space="preserve">, la Ponencia </w:t>
      </w:r>
      <w:proofErr w:type="spellStart"/>
      <w:r w:rsidRPr="009F71D8">
        <w:rPr>
          <w:rFonts w:ascii="Palatino Linotype" w:hAnsi="Palatino Linotype" w:cs="Arial"/>
          <w:sz w:val="24"/>
          <w:szCs w:val="24"/>
        </w:rPr>
        <w:t>Resolutora</w:t>
      </w:r>
      <w:proofErr w:type="spellEnd"/>
      <w:r w:rsidRPr="009F71D8">
        <w:rPr>
          <w:rFonts w:ascii="Palatino Linotype" w:hAnsi="Palatino Linotype" w:cs="Arial"/>
          <w:sz w:val="24"/>
          <w:szCs w:val="24"/>
        </w:rPr>
        <w:t xml:space="preserve"> determinó </w:t>
      </w:r>
      <w:r w:rsidR="00534C05">
        <w:rPr>
          <w:rFonts w:ascii="Palatino Linotype" w:hAnsi="Palatino Linotype" w:cs="Arial"/>
          <w:b/>
          <w:sz w:val="24"/>
          <w:szCs w:val="24"/>
        </w:rPr>
        <w:t>MODIFICAR</w:t>
      </w:r>
      <w:r w:rsidRPr="009F71D8">
        <w:rPr>
          <w:rFonts w:ascii="Palatino Linotype" w:hAnsi="Palatino Linotype" w:cs="Arial"/>
          <w:b/>
          <w:sz w:val="24"/>
          <w:szCs w:val="24"/>
        </w:rPr>
        <w:t xml:space="preserve"> </w:t>
      </w:r>
      <w:r w:rsidR="00534C05">
        <w:rPr>
          <w:rFonts w:ascii="Palatino Linotype" w:hAnsi="Palatino Linotype" w:cs="Arial"/>
          <w:sz w:val="24"/>
          <w:szCs w:val="24"/>
        </w:rPr>
        <w:t>la respuesta del</w:t>
      </w:r>
      <w:r w:rsidRPr="009F71D8">
        <w:rPr>
          <w:rFonts w:ascii="Palatino Linotype" w:hAnsi="Palatino Linotype" w:cs="Arial"/>
          <w:sz w:val="24"/>
          <w:szCs w:val="24"/>
        </w:rPr>
        <w:t xml:space="preserve"> </w:t>
      </w:r>
      <w:r w:rsidRPr="009F71D8">
        <w:rPr>
          <w:rFonts w:ascii="Palatino Linotype" w:hAnsi="Palatino Linotype" w:cs="Arial"/>
          <w:b/>
          <w:sz w:val="24"/>
          <w:szCs w:val="24"/>
        </w:rPr>
        <w:t>SUJETO OBLIGADO</w:t>
      </w:r>
      <w:r w:rsidRPr="009F71D8">
        <w:rPr>
          <w:rFonts w:ascii="Palatino Linotype" w:hAnsi="Palatino Linotype" w:cs="Arial"/>
          <w:sz w:val="24"/>
          <w:szCs w:val="24"/>
        </w:rPr>
        <w:t xml:space="preserve"> </w:t>
      </w:r>
      <w:r w:rsidR="00ED22F1">
        <w:rPr>
          <w:rFonts w:ascii="Palatino Linotype" w:hAnsi="Palatino Linotype" w:cs="Arial"/>
          <w:sz w:val="24"/>
          <w:szCs w:val="24"/>
        </w:rPr>
        <w:t>e hiciera</w:t>
      </w:r>
      <w:r w:rsidR="00E97C45">
        <w:rPr>
          <w:rFonts w:ascii="Palatino Linotype" w:hAnsi="Palatino Linotype" w:cs="Arial"/>
          <w:sz w:val="24"/>
          <w:szCs w:val="24"/>
        </w:rPr>
        <w:t xml:space="preserve"> entrega a través del SAIMEX</w:t>
      </w:r>
      <w:r w:rsidR="00534C05">
        <w:rPr>
          <w:rFonts w:ascii="Palatino Linotype" w:hAnsi="Palatino Linotype" w:cs="Arial"/>
          <w:sz w:val="24"/>
          <w:szCs w:val="24"/>
        </w:rPr>
        <w:t xml:space="preserve"> y correo electrónico proporcionado</w:t>
      </w:r>
      <w:r w:rsidR="00E97C45">
        <w:rPr>
          <w:rFonts w:ascii="Palatino Linotype" w:hAnsi="Palatino Linotype" w:cs="Arial"/>
          <w:sz w:val="24"/>
          <w:szCs w:val="24"/>
        </w:rPr>
        <w:t xml:space="preserve"> de la siguiente información:</w:t>
      </w:r>
    </w:p>
    <w:p w:rsidR="006A112C" w:rsidRPr="006A112C" w:rsidRDefault="006A112C" w:rsidP="006A112C">
      <w:pPr>
        <w:numPr>
          <w:ilvl w:val="0"/>
          <w:numId w:val="3"/>
        </w:numPr>
        <w:pBdr>
          <w:top w:val="nil"/>
          <w:left w:val="nil"/>
          <w:bottom w:val="nil"/>
          <w:right w:val="nil"/>
          <w:between w:val="nil"/>
        </w:pBdr>
        <w:spacing w:after="0" w:line="240" w:lineRule="auto"/>
        <w:ind w:left="993" w:right="757"/>
        <w:contextualSpacing/>
        <w:jc w:val="both"/>
        <w:rPr>
          <w:rFonts w:ascii="Palatino Linotype" w:eastAsia="Palatino Linotype" w:hAnsi="Palatino Linotype" w:cs="Palatino Linotype"/>
          <w:i/>
          <w:color w:val="000000"/>
        </w:rPr>
      </w:pPr>
      <w:r w:rsidRPr="006A112C">
        <w:rPr>
          <w:rFonts w:ascii="Palatino Linotype" w:eastAsia="Palatino Linotype" w:hAnsi="Palatino Linotype" w:cs="Palatino Linotype"/>
          <w:i/>
          <w:color w:val="000000"/>
        </w:rPr>
        <w:t>Su estructura orgánica completa.</w:t>
      </w:r>
    </w:p>
    <w:p w:rsidR="006A112C" w:rsidRPr="006A112C" w:rsidRDefault="006A112C" w:rsidP="006A112C">
      <w:pPr>
        <w:numPr>
          <w:ilvl w:val="0"/>
          <w:numId w:val="3"/>
        </w:numPr>
        <w:pBdr>
          <w:top w:val="nil"/>
          <w:left w:val="nil"/>
          <w:bottom w:val="nil"/>
          <w:right w:val="nil"/>
          <w:between w:val="nil"/>
        </w:pBdr>
        <w:spacing w:after="0" w:line="240" w:lineRule="auto"/>
        <w:ind w:left="993" w:right="757"/>
        <w:contextualSpacing/>
        <w:jc w:val="both"/>
        <w:rPr>
          <w:rFonts w:ascii="Palatino Linotype" w:eastAsia="Palatino Linotype" w:hAnsi="Palatino Linotype" w:cs="Palatino Linotype"/>
          <w:i/>
          <w:color w:val="000000"/>
        </w:rPr>
      </w:pPr>
      <w:r w:rsidRPr="006A112C">
        <w:rPr>
          <w:rFonts w:ascii="Palatino Linotype" w:eastAsia="Palatino Linotype" w:hAnsi="Palatino Linotype" w:cs="Palatino Linotype"/>
          <w:i/>
          <w:color w:val="000000"/>
        </w:rPr>
        <w:t>La remuneración bruta y neta de todos los servidores públicos.</w:t>
      </w:r>
    </w:p>
    <w:p w:rsidR="006A112C" w:rsidRPr="006A112C" w:rsidRDefault="006A112C" w:rsidP="006A112C">
      <w:pPr>
        <w:numPr>
          <w:ilvl w:val="0"/>
          <w:numId w:val="3"/>
        </w:numPr>
        <w:pBdr>
          <w:top w:val="nil"/>
          <w:left w:val="nil"/>
          <w:bottom w:val="nil"/>
          <w:right w:val="nil"/>
          <w:between w:val="nil"/>
        </w:pBdr>
        <w:spacing w:after="0" w:line="240" w:lineRule="auto"/>
        <w:ind w:left="993" w:right="757"/>
        <w:contextualSpacing/>
        <w:jc w:val="both"/>
        <w:rPr>
          <w:rFonts w:ascii="Palatino Linotype" w:eastAsia="Palatino Linotype" w:hAnsi="Palatino Linotype" w:cs="Palatino Linotype"/>
          <w:i/>
          <w:color w:val="000000"/>
        </w:rPr>
      </w:pPr>
      <w:r w:rsidRPr="006A112C">
        <w:rPr>
          <w:rFonts w:ascii="Palatino Linotype" w:eastAsia="Palatino Linotype" w:hAnsi="Palatino Linotype" w:cs="Palatino Linotype"/>
          <w:i/>
          <w:color w:val="000000"/>
        </w:rPr>
        <w:t>El número total de plazas, de personal de base y de confianza.</w:t>
      </w:r>
    </w:p>
    <w:p w:rsidR="006A112C" w:rsidRPr="006A112C" w:rsidRDefault="006A112C" w:rsidP="006A112C">
      <w:pPr>
        <w:numPr>
          <w:ilvl w:val="0"/>
          <w:numId w:val="3"/>
        </w:numPr>
        <w:pBdr>
          <w:top w:val="nil"/>
          <w:left w:val="nil"/>
          <w:bottom w:val="nil"/>
          <w:right w:val="nil"/>
          <w:between w:val="nil"/>
        </w:pBdr>
        <w:spacing w:after="0" w:line="240" w:lineRule="auto"/>
        <w:ind w:left="993" w:right="757"/>
        <w:contextualSpacing/>
        <w:jc w:val="both"/>
        <w:rPr>
          <w:rFonts w:ascii="Palatino Linotype" w:eastAsia="Palatino Linotype" w:hAnsi="Palatino Linotype" w:cs="Palatino Linotype"/>
          <w:i/>
          <w:color w:val="000000"/>
        </w:rPr>
      </w:pPr>
      <w:r w:rsidRPr="006A112C">
        <w:rPr>
          <w:rFonts w:ascii="Palatino Linotype" w:eastAsia="Palatino Linotype" w:hAnsi="Palatino Linotype" w:cs="Palatino Linotype"/>
          <w:i/>
          <w:color w:val="000000"/>
        </w:rPr>
        <w:t>El perfil de los puestos de los servidores públicos.</w:t>
      </w:r>
    </w:p>
    <w:p w:rsidR="006A112C" w:rsidRPr="006A112C" w:rsidRDefault="006A112C" w:rsidP="006A112C">
      <w:pPr>
        <w:numPr>
          <w:ilvl w:val="0"/>
          <w:numId w:val="3"/>
        </w:numPr>
        <w:pBdr>
          <w:top w:val="nil"/>
          <w:left w:val="nil"/>
          <w:bottom w:val="nil"/>
          <w:right w:val="nil"/>
          <w:between w:val="nil"/>
        </w:pBdr>
        <w:spacing w:after="0" w:line="240" w:lineRule="auto"/>
        <w:ind w:left="993" w:right="757"/>
        <w:contextualSpacing/>
        <w:jc w:val="both"/>
        <w:rPr>
          <w:rFonts w:ascii="Palatino Linotype" w:eastAsia="Palatino Linotype" w:hAnsi="Palatino Linotype" w:cs="Palatino Linotype"/>
          <w:i/>
          <w:color w:val="000000"/>
        </w:rPr>
      </w:pPr>
      <w:r w:rsidRPr="006A112C">
        <w:rPr>
          <w:rFonts w:ascii="Palatino Linotype" w:eastAsia="Palatino Linotype" w:hAnsi="Palatino Linotype" w:cs="Palatino Linotype"/>
          <w:i/>
          <w:color w:val="000000"/>
        </w:rPr>
        <w:t>Los informes del ejercicio trimestral del gasto.</w:t>
      </w:r>
    </w:p>
    <w:p w:rsidR="006A112C" w:rsidRPr="006A112C" w:rsidRDefault="006A112C" w:rsidP="006A112C">
      <w:pPr>
        <w:numPr>
          <w:ilvl w:val="0"/>
          <w:numId w:val="3"/>
        </w:numPr>
        <w:pBdr>
          <w:top w:val="nil"/>
          <w:left w:val="nil"/>
          <w:bottom w:val="nil"/>
          <w:right w:val="nil"/>
          <w:between w:val="nil"/>
        </w:pBdr>
        <w:spacing w:after="0" w:line="240" w:lineRule="auto"/>
        <w:ind w:left="993" w:right="757"/>
        <w:contextualSpacing/>
        <w:jc w:val="both"/>
        <w:rPr>
          <w:rFonts w:ascii="Palatino Linotype" w:eastAsia="Palatino Linotype" w:hAnsi="Palatino Linotype" w:cs="Palatino Linotype"/>
          <w:i/>
          <w:color w:val="000000"/>
        </w:rPr>
      </w:pPr>
      <w:r w:rsidRPr="006A112C">
        <w:rPr>
          <w:rFonts w:ascii="Palatino Linotype" w:eastAsia="Palatino Linotype" w:hAnsi="Palatino Linotype" w:cs="Palatino Linotype"/>
          <w:i/>
          <w:color w:val="000000"/>
        </w:rPr>
        <w:t>La deuda pública, datos financieros contratados, los movimientos efectuados en los que se adviertan los montos, plazo, tasas de interés y garantía.</w:t>
      </w:r>
    </w:p>
    <w:p w:rsidR="006A112C" w:rsidRPr="006A112C" w:rsidRDefault="006A112C" w:rsidP="006A112C">
      <w:pPr>
        <w:numPr>
          <w:ilvl w:val="0"/>
          <w:numId w:val="3"/>
        </w:numPr>
        <w:pBdr>
          <w:top w:val="nil"/>
          <w:left w:val="nil"/>
          <w:bottom w:val="nil"/>
          <w:right w:val="nil"/>
          <w:between w:val="nil"/>
        </w:pBdr>
        <w:spacing w:after="0" w:line="240" w:lineRule="auto"/>
        <w:ind w:left="993" w:right="757"/>
        <w:contextualSpacing/>
        <w:jc w:val="both"/>
        <w:rPr>
          <w:rFonts w:ascii="Palatino Linotype" w:eastAsia="Palatino Linotype" w:hAnsi="Palatino Linotype" w:cs="Palatino Linotype"/>
          <w:i/>
          <w:color w:val="000000"/>
        </w:rPr>
      </w:pPr>
      <w:r w:rsidRPr="006A112C">
        <w:rPr>
          <w:rFonts w:ascii="Palatino Linotype" w:eastAsia="Palatino Linotype" w:hAnsi="Palatino Linotype" w:cs="Palatino Linotype"/>
          <w:i/>
          <w:color w:val="000000"/>
        </w:rPr>
        <w:t>Los informes de resultados de las auditorías al ejercicio presupuestal realizada por el Sujeto Obligado y las aclaraciones correspondientes.</w:t>
      </w:r>
    </w:p>
    <w:p w:rsidR="006A112C" w:rsidRPr="006A112C" w:rsidRDefault="006A112C" w:rsidP="006A112C">
      <w:pPr>
        <w:numPr>
          <w:ilvl w:val="0"/>
          <w:numId w:val="3"/>
        </w:numPr>
        <w:pBdr>
          <w:top w:val="nil"/>
          <w:left w:val="nil"/>
          <w:bottom w:val="nil"/>
          <w:right w:val="nil"/>
          <w:between w:val="nil"/>
        </w:pBdr>
        <w:spacing w:after="0" w:line="240" w:lineRule="auto"/>
        <w:ind w:left="993" w:right="757"/>
        <w:contextualSpacing/>
        <w:jc w:val="both"/>
        <w:rPr>
          <w:rFonts w:ascii="Palatino Linotype" w:eastAsia="Palatino Linotype" w:hAnsi="Palatino Linotype" w:cs="Palatino Linotype"/>
          <w:i/>
          <w:color w:val="000000"/>
        </w:rPr>
      </w:pPr>
      <w:r w:rsidRPr="006A112C">
        <w:rPr>
          <w:rFonts w:ascii="Palatino Linotype" w:eastAsia="Palatino Linotype" w:hAnsi="Palatino Linotype" w:cs="Palatino Linotype"/>
          <w:i/>
          <w:color w:val="000000"/>
        </w:rPr>
        <w:t xml:space="preserve">Los resultados de la </w:t>
      </w:r>
      <w:proofErr w:type="spellStart"/>
      <w:r w:rsidRPr="006A112C">
        <w:rPr>
          <w:rFonts w:ascii="Palatino Linotype" w:eastAsia="Palatino Linotype" w:hAnsi="Palatino Linotype" w:cs="Palatino Linotype"/>
          <w:i/>
          <w:color w:val="000000"/>
        </w:rPr>
        <w:t>dictaminación</w:t>
      </w:r>
      <w:proofErr w:type="spellEnd"/>
      <w:r w:rsidRPr="006A112C">
        <w:rPr>
          <w:rFonts w:ascii="Palatino Linotype" w:eastAsia="Palatino Linotype" w:hAnsi="Palatino Linotype" w:cs="Palatino Linotype"/>
          <w:i/>
          <w:color w:val="000000"/>
        </w:rPr>
        <w:t xml:space="preserve"> a los estados financieros.</w:t>
      </w:r>
    </w:p>
    <w:p w:rsidR="006A112C" w:rsidRPr="006A112C" w:rsidRDefault="006A112C" w:rsidP="006A112C">
      <w:pPr>
        <w:numPr>
          <w:ilvl w:val="0"/>
          <w:numId w:val="3"/>
        </w:numPr>
        <w:pBdr>
          <w:top w:val="nil"/>
          <w:left w:val="nil"/>
          <w:bottom w:val="nil"/>
          <w:right w:val="nil"/>
          <w:between w:val="nil"/>
        </w:pBdr>
        <w:spacing w:after="0" w:line="240" w:lineRule="auto"/>
        <w:ind w:left="993" w:right="757"/>
        <w:contextualSpacing/>
        <w:jc w:val="both"/>
        <w:rPr>
          <w:rFonts w:ascii="Palatino Linotype" w:eastAsia="Palatino Linotype" w:hAnsi="Palatino Linotype" w:cs="Palatino Linotype"/>
          <w:i/>
          <w:color w:val="000000"/>
        </w:rPr>
      </w:pPr>
      <w:r w:rsidRPr="006A112C">
        <w:rPr>
          <w:rFonts w:ascii="Palatino Linotype" w:eastAsia="Palatino Linotype" w:hAnsi="Palatino Linotype" w:cs="Palatino Linotype"/>
          <w:i/>
          <w:color w:val="000000"/>
        </w:rPr>
        <w:lastRenderedPageBreak/>
        <w:t>Los informes de los avances programáticos o presupuestales, balances y estado financiero.</w:t>
      </w:r>
    </w:p>
    <w:p w:rsidR="006A112C" w:rsidRPr="006A112C" w:rsidRDefault="006A112C" w:rsidP="006A112C">
      <w:pPr>
        <w:numPr>
          <w:ilvl w:val="0"/>
          <w:numId w:val="3"/>
        </w:numPr>
        <w:pBdr>
          <w:top w:val="nil"/>
          <w:left w:val="nil"/>
          <w:bottom w:val="nil"/>
          <w:right w:val="nil"/>
          <w:between w:val="nil"/>
        </w:pBdr>
        <w:spacing w:after="0" w:line="240" w:lineRule="auto"/>
        <w:ind w:left="993" w:right="757"/>
        <w:contextualSpacing/>
        <w:jc w:val="both"/>
        <w:rPr>
          <w:rFonts w:ascii="Palatino Linotype" w:eastAsia="Palatino Linotype" w:hAnsi="Palatino Linotype" w:cs="Palatino Linotype"/>
          <w:i/>
        </w:rPr>
      </w:pPr>
      <w:r w:rsidRPr="006A112C">
        <w:rPr>
          <w:rFonts w:ascii="Palatino Linotype" w:eastAsia="Palatino Linotype" w:hAnsi="Palatino Linotype" w:cs="Palatino Linotype"/>
          <w:i/>
        </w:rPr>
        <w:t>Los ingresos recibidos y el destino de los mismos.</w:t>
      </w:r>
    </w:p>
    <w:p w:rsidR="006A112C" w:rsidRPr="006A112C" w:rsidRDefault="006A112C" w:rsidP="006A112C">
      <w:pPr>
        <w:numPr>
          <w:ilvl w:val="0"/>
          <w:numId w:val="3"/>
        </w:numPr>
        <w:pBdr>
          <w:top w:val="nil"/>
          <w:left w:val="nil"/>
          <w:bottom w:val="nil"/>
          <w:right w:val="nil"/>
          <w:between w:val="nil"/>
        </w:pBdr>
        <w:spacing w:after="0" w:line="240" w:lineRule="auto"/>
        <w:ind w:left="993" w:right="757"/>
        <w:contextualSpacing/>
        <w:jc w:val="both"/>
        <w:rPr>
          <w:rFonts w:ascii="Palatino Linotype" w:eastAsia="Palatino Linotype" w:hAnsi="Palatino Linotype" w:cs="Palatino Linotype"/>
          <w:i/>
        </w:rPr>
      </w:pPr>
      <w:r w:rsidRPr="006A112C">
        <w:rPr>
          <w:rFonts w:ascii="Palatino Linotype" w:eastAsia="Palatino Linotype" w:hAnsi="Palatino Linotype" w:cs="Palatino Linotype"/>
          <w:i/>
        </w:rPr>
        <w:t>Las fórmulas de distribución de los recursos otorgados.</w:t>
      </w:r>
    </w:p>
    <w:p w:rsidR="006A112C" w:rsidRPr="006A112C" w:rsidRDefault="006A112C" w:rsidP="006A112C">
      <w:pPr>
        <w:numPr>
          <w:ilvl w:val="0"/>
          <w:numId w:val="3"/>
        </w:numPr>
        <w:pBdr>
          <w:top w:val="nil"/>
          <w:left w:val="nil"/>
          <w:bottom w:val="nil"/>
          <w:right w:val="nil"/>
          <w:between w:val="nil"/>
        </w:pBdr>
        <w:spacing w:after="0" w:line="240" w:lineRule="auto"/>
        <w:ind w:left="993" w:right="757"/>
        <w:contextualSpacing/>
        <w:jc w:val="both"/>
        <w:rPr>
          <w:rFonts w:ascii="Palatino Linotype" w:eastAsia="Palatino Linotype" w:hAnsi="Palatino Linotype" w:cs="Palatino Linotype"/>
          <w:i/>
          <w:color w:val="000000"/>
        </w:rPr>
      </w:pPr>
      <w:r w:rsidRPr="006A112C">
        <w:rPr>
          <w:rFonts w:ascii="Palatino Linotype" w:eastAsia="Palatino Linotype" w:hAnsi="Palatino Linotype" w:cs="Palatino Linotype"/>
          <w:i/>
          <w:color w:val="000000"/>
        </w:rPr>
        <w:t>El plan de desarrollo urbano, ordenamiento territorial, licencias de uso de suelo y licencias de construcción.</w:t>
      </w:r>
    </w:p>
    <w:p w:rsidR="006A112C" w:rsidRPr="006A112C" w:rsidRDefault="006A112C" w:rsidP="006A112C">
      <w:pPr>
        <w:spacing w:before="240" w:line="240" w:lineRule="auto"/>
        <w:ind w:left="993" w:right="757"/>
        <w:jc w:val="both"/>
        <w:rPr>
          <w:rFonts w:ascii="Palatino Linotype" w:eastAsia="Palatino Linotype" w:hAnsi="Palatino Linotype" w:cs="Palatino Linotype"/>
          <w:i/>
        </w:rPr>
      </w:pPr>
      <w:r w:rsidRPr="006A112C">
        <w:rPr>
          <w:rFonts w:ascii="Palatino Linotype" w:eastAsia="Palatino Linotype" w:hAnsi="Palatino Linotype" w:cs="Palatino Linotype"/>
          <w:i/>
        </w:rPr>
        <w:t>Así mismos deberá entregar lo siguiente:</w:t>
      </w:r>
    </w:p>
    <w:p w:rsidR="006A112C" w:rsidRPr="006A112C" w:rsidRDefault="006A112C" w:rsidP="006A112C">
      <w:pPr>
        <w:spacing w:before="240" w:line="240" w:lineRule="auto"/>
        <w:ind w:left="993" w:right="757"/>
        <w:contextualSpacing/>
        <w:jc w:val="both"/>
        <w:rPr>
          <w:rFonts w:ascii="Palatino Linotype" w:eastAsia="Palatino Linotype" w:hAnsi="Palatino Linotype" w:cs="Palatino Linotype"/>
          <w:i/>
        </w:rPr>
      </w:pPr>
    </w:p>
    <w:p w:rsidR="006A112C" w:rsidRPr="006A112C" w:rsidRDefault="006A112C" w:rsidP="006A112C">
      <w:pPr>
        <w:numPr>
          <w:ilvl w:val="0"/>
          <w:numId w:val="4"/>
        </w:numPr>
        <w:pBdr>
          <w:top w:val="nil"/>
          <w:left w:val="nil"/>
          <w:bottom w:val="nil"/>
          <w:right w:val="nil"/>
          <w:between w:val="nil"/>
        </w:pBdr>
        <w:spacing w:after="0" w:line="240" w:lineRule="auto"/>
        <w:ind w:left="993" w:right="757"/>
        <w:contextualSpacing/>
        <w:jc w:val="both"/>
        <w:rPr>
          <w:rFonts w:ascii="Palatino Linotype" w:eastAsia="Palatino Linotype" w:hAnsi="Palatino Linotype" w:cs="Palatino Linotype"/>
          <w:i/>
        </w:rPr>
      </w:pPr>
      <w:r w:rsidRPr="006A112C">
        <w:rPr>
          <w:rFonts w:ascii="Palatino Linotype" w:eastAsia="Palatino Linotype" w:hAnsi="Palatino Linotype" w:cs="Palatino Linotype"/>
          <w:i/>
          <w:color w:val="000000"/>
        </w:rPr>
        <w:t>La información financiera de la cuenta pública del primero de enero al cinco de septiembre de año dos mil dieciocho.</w:t>
      </w:r>
    </w:p>
    <w:p w:rsidR="006A112C" w:rsidRPr="006A112C" w:rsidRDefault="006A112C" w:rsidP="006A112C">
      <w:pPr>
        <w:numPr>
          <w:ilvl w:val="0"/>
          <w:numId w:val="4"/>
        </w:numPr>
        <w:pBdr>
          <w:top w:val="nil"/>
          <w:left w:val="nil"/>
          <w:bottom w:val="nil"/>
          <w:right w:val="nil"/>
          <w:between w:val="nil"/>
        </w:pBdr>
        <w:spacing w:after="0" w:line="240" w:lineRule="auto"/>
        <w:ind w:left="993" w:right="757"/>
        <w:contextualSpacing/>
        <w:jc w:val="both"/>
        <w:rPr>
          <w:rFonts w:ascii="Palatino Linotype" w:eastAsia="Palatino Linotype" w:hAnsi="Palatino Linotype" w:cs="Palatino Linotype"/>
          <w:i/>
        </w:rPr>
      </w:pPr>
      <w:r w:rsidRPr="006A112C">
        <w:rPr>
          <w:rFonts w:ascii="Palatino Linotype" w:eastAsia="Palatino Linotype" w:hAnsi="Palatino Linotype" w:cs="Palatino Linotype"/>
          <w:i/>
        </w:rPr>
        <w:t>El inventario de bienes muebles e inmuebles en posesión y propiedad del cinco de septiembre al treinta y uno de diciembre del año dos mil diecisiete.</w:t>
      </w:r>
    </w:p>
    <w:p w:rsidR="006A112C" w:rsidRPr="006A112C" w:rsidRDefault="006A112C" w:rsidP="006A112C">
      <w:pPr>
        <w:numPr>
          <w:ilvl w:val="0"/>
          <w:numId w:val="4"/>
        </w:numPr>
        <w:pBdr>
          <w:top w:val="nil"/>
          <w:left w:val="nil"/>
          <w:bottom w:val="nil"/>
          <w:right w:val="nil"/>
          <w:between w:val="nil"/>
        </w:pBdr>
        <w:spacing w:after="0" w:line="240" w:lineRule="auto"/>
        <w:ind w:left="993" w:right="757"/>
        <w:contextualSpacing/>
        <w:jc w:val="both"/>
        <w:rPr>
          <w:rFonts w:ascii="Palatino Linotype" w:eastAsia="Palatino Linotype" w:hAnsi="Palatino Linotype" w:cs="Palatino Linotype"/>
          <w:i/>
        </w:rPr>
      </w:pPr>
      <w:r w:rsidRPr="006A112C">
        <w:rPr>
          <w:rFonts w:ascii="Palatino Linotype" w:eastAsia="Palatino Linotype" w:hAnsi="Palatino Linotype" w:cs="Palatino Linotype"/>
          <w:i/>
        </w:rPr>
        <w:t>El inventario de altas practicadas a los bienes muebles del primero de enero al cinco de septiembre del año dos mil dieciocho.</w:t>
      </w:r>
    </w:p>
    <w:p w:rsidR="006A112C" w:rsidRPr="006A112C" w:rsidRDefault="006A112C" w:rsidP="006A112C">
      <w:pPr>
        <w:numPr>
          <w:ilvl w:val="0"/>
          <w:numId w:val="4"/>
        </w:numPr>
        <w:pBdr>
          <w:top w:val="nil"/>
          <w:left w:val="nil"/>
          <w:bottom w:val="nil"/>
          <w:right w:val="nil"/>
          <w:between w:val="nil"/>
        </w:pBdr>
        <w:spacing w:after="0" w:line="240" w:lineRule="auto"/>
        <w:ind w:left="993" w:right="757"/>
        <w:contextualSpacing/>
        <w:jc w:val="both"/>
        <w:rPr>
          <w:rFonts w:ascii="Palatino Linotype" w:eastAsia="Palatino Linotype" w:hAnsi="Palatino Linotype" w:cs="Palatino Linotype"/>
          <w:i/>
        </w:rPr>
      </w:pPr>
      <w:r w:rsidRPr="006A112C">
        <w:rPr>
          <w:rFonts w:ascii="Palatino Linotype" w:eastAsia="Palatino Linotype" w:hAnsi="Palatino Linotype" w:cs="Palatino Linotype"/>
          <w:i/>
        </w:rPr>
        <w:t>El inventario de bienes muebles del primero de enero al cinco de septiembre del año dos mil dieciocho.</w:t>
      </w:r>
    </w:p>
    <w:p w:rsidR="006A112C" w:rsidRPr="006A112C" w:rsidRDefault="006A112C" w:rsidP="006A112C">
      <w:pPr>
        <w:numPr>
          <w:ilvl w:val="0"/>
          <w:numId w:val="4"/>
        </w:numPr>
        <w:pBdr>
          <w:top w:val="nil"/>
          <w:left w:val="nil"/>
          <w:bottom w:val="nil"/>
          <w:right w:val="nil"/>
          <w:between w:val="nil"/>
        </w:pBdr>
        <w:spacing w:after="0" w:line="240" w:lineRule="auto"/>
        <w:ind w:left="993" w:right="757"/>
        <w:contextualSpacing/>
        <w:jc w:val="both"/>
        <w:rPr>
          <w:rFonts w:ascii="Palatino Linotype" w:eastAsia="Palatino Linotype" w:hAnsi="Palatino Linotype" w:cs="Palatino Linotype"/>
          <w:i/>
        </w:rPr>
      </w:pPr>
      <w:r w:rsidRPr="006A112C">
        <w:rPr>
          <w:rFonts w:ascii="Palatino Linotype" w:eastAsia="Palatino Linotype" w:hAnsi="Palatino Linotype" w:cs="Palatino Linotype"/>
          <w:i/>
        </w:rPr>
        <w:t>Los tipos de uso de suelo del primero de enero al cinco de septiembre del año dos mil dieciocho.</w:t>
      </w:r>
    </w:p>
    <w:p w:rsidR="006A112C" w:rsidRPr="006A112C" w:rsidRDefault="006A112C" w:rsidP="006A112C">
      <w:pPr>
        <w:spacing w:before="240" w:line="240" w:lineRule="auto"/>
        <w:ind w:left="993" w:right="757"/>
        <w:jc w:val="both"/>
        <w:rPr>
          <w:rFonts w:ascii="Palatino Linotype" w:eastAsia="Palatino Linotype" w:hAnsi="Palatino Linotype" w:cs="Palatino Linotype"/>
          <w:i/>
        </w:rPr>
      </w:pPr>
      <w:r w:rsidRPr="006A112C">
        <w:rPr>
          <w:rFonts w:ascii="Palatino Linotype" w:eastAsia="Palatino Linotype" w:hAnsi="Palatino Linotype" w:cs="Palatino Linotype"/>
          <w:i/>
        </w:rPr>
        <w:t>De ser procedente, se deberá emitir el Acuerdo del Comité de Transparencia de conformidad a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del recurrente, mismo que igualmente hará de su conocimiento.</w:t>
      </w:r>
    </w:p>
    <w:p w:rsidR="00352450" w:rsidRPr="00E97C45" w:rsidRDefault="00352450" w:rsidP="00352450">
      <w:pPr>
        <w:pStyle w:val="Prrafodelista"/>
        <w:tabs>
          <w:tab w:val="left" w:pos="4962"/>
        </w:tabs>
        <w:ind w:left="993" w:right="757"/>
        <w:jc w:val="both"/>
        <w:rPr>
          <w:rFonts w:ascii="Palatino Linotype" w:eastAsia="Calibri" w:hAnsi="Palatino Linotype" w:cs="Tahoma"/>
          <w:i/>
          <w:iCs/>
          <w:szCs w:val="22"/>
          <w:lang w:val="es-ES" w:eastAsia="es-ES_tradnl"/>
        </w:rPr>
      </w:pPr>
    </w:p>
    <w:p w:rsidR="00E43478" w:rsidRPr="006A112C" w:rsidRDefault="00222D15" w:rsidP="002F537D">
      <w:pPr>
        <w:spacing w:before="100" w:beforeAutospacing="1" w:after="100" w:afterAutospacing="1" w:line="360" w:lineRule="auto"/>
        <w:ind w:right="49"/>
        <w:jc w:val="both"/>
        <w:rPr>
          <w:rFonts w:ascii="Palatino Linotype" w:hAnsi="Palatino Linotype" w:cs="Arial"/>
          <w:sz w:val="24"/>
          <w:szCs w:val="24"/>
        </w:rPr>
      </w:pPr>
      <w:r w:rsidRPr="009F71D8">
        <w:rPr>
          <w:rFonts w:ascii="Palatino Linotype" w:hAnsi="Palatino Linotype" w:cs="Arial"/>
          <w:sz w:val="24"/>
          <w:szCs w:val="24"/>
        </w:rPr>
        <w:t xml:space="preserve">En ese sentido, la que suscribe reitera, que si bien coincide en términos generales con el </w:t>
      </w:r>
      <w:r>
        <w:rPr>
          <w:rFonts w:ascii="Palatino Linotype" w:hAnsi="Palatino Linotype" w:cs="Arial"/>
          <w:sz w:val="24"/>
          <w:szCs w:val="24"/>
        </w:rPr>
        <w:t>sentido de la resolución en comento; difi</w:t>
      </w:r>
      <w:r w:rsidR="00434F2D">
        <w:rPr>
          <w:rFonts w:ascii="Palatino Linotype" w:hAnsi="Palatino Linotype" w:cs="Arial"/>
          <w:sz w:val="24"/>
          <w:szCs w:val="24"/>
        </w:rPr>
        <w:t xml:space="preserve">ero respecto a que </w:t>
      </w:r>
      <w:r w:rsidR="006A112C">
        <w:rPr>
          <w:rFonts w:ascii="Palatino Linotype" w:hAnsi="Palatino Linotype" w:cs="Arial"/>
          <w:sz w:val="24"/>
          <w:szCs w:val="24"/>
        </w:rPr>
        <w:t xml:space="preserve">se haya omitido ordenar dentro de los resolutivos el documento en donde consten las resoluciones o laudos que hayan sido sustanciados por </w:t>
      </w:r>
      <w:r w:rsidR="006A112C" w:rsidRPr="006A112C">
        <w:rPr>
          <w:rFonts w:ascii="Palatino Linotype" w:hAnsi="Palatino Linotype" w:cs="Arial"/>
          <w:b/>
          <w:sz w:val="24"/>
          <w:szCs w:val="24"/>
        </w:rPr>
        <w:t>EL SUJETO OBLIGADO</w:t>
      </w:r>
      <w:r w:rsidR="006A112C">
        <w:rPr>
          <w:rFonts w:ascii="Palatino Linotype" w:hAnsi="Palatino Linotype" w:cs="Arial"/>
          <w:b/>
          <w:sz w:val="24"/>
          <w:szCs w:val="24"/>
        </w:rPr>
        <w:t xml:space="preserve">, </w:t>
      </w:r>
      <w:r w:rsidR="006A112C">
        <w:rPr>
          <w:rFonts w:ascii="Palatino Linotype" w:hAnsi="Palatino Linotype" w:cs="Arial"/>
          <w:sz w:val="24"/>
          <w:szCs w:val="24"/>
        </w:rPr>
        <w:t>únicamente las que hayan causado estado.</w:t>
      </w:r>
    </w:p>
    <w:p w:rsidR="00352450" w:rsidRDefault="00222D15" w:rsidP="006A112C">
      <w:pPr>
        <w:spacing w:before="100" w:beforeAutospacing="1" w:after="100" w:afterAutospacing="1" w:line="360" w:lineRule="auto"/>
        <w:jc w:val="both"/>
        <w:rPr>
          <w:rFonts w:ascii="Palatino Linotype" w:hAnsi="Palatino Linotype"/>
          <w:sz w:val="24"/>
          <w:szCs w:val="24"/>
        </w:rPr>
      </w:pPr>
      <w:r>
        <w:rPr>
          <w:rFonts w:ascii="Palatino Linotype" w:hAnsi="Palatino Linotype" w:cs="Arial"/>
          <w:sz w:val="24"/>
          <w:szCs w:val="24"/>
        </w:rPr>
        <w:lastRenderedPageBreak/>
        <w:t xml:space="preserve">Lo anterior es así, de acuerdo a que </w:t>
      </w:r>
      <w:r w:rsidR="006A112C">
        <w:rPr>
          <w:rFonts w:ascii="Palatino Linotype" w:hAnsi="Palatino Linotype" w:cs="Arial"/>
          <w:sz w:val="24"/>
          <w:szCs w:val="24"/>
        </w:rPr>
        <w:t xml:space="preserve">la Ponencia </w:t>
      </w:r>
      <w:proofErr w:type="spellStart"/>
      <w:r w:rsidR="006A112C">
        <w:rPr>
          <w:rFonts w:ascii="Palatino Linotype" w:hAnsi="Palatino Linotype" w:cs="Arial"/>
          <w:sz w:val="24"/>
          <w:szCs w:val="24"/>
        </w:rPr>
        <w:t>Resolutora</w:t>
      </w:r>
      <w:proofErr w:type="spellEnd"/>
      <w:r w:rsidR="006A112C">
        <w:rPr>
          <w:rFonts w:ascii="Palatino Linotype" w:hAnsi="Palatino Linotype" w:cs="Arial"/>
          <w:sz w:val="24"/>
          <w:szCs w:val="24"/>
        </w:rPr>
        <w:t xml:space="preserve">, dentro de su proyecto de resolución del recurso de revisión de mérito, alude dentro de la página 49 específicamente lo siguiente </w:t>
      </w:r>
      <w:r w:rsidR="006A112C" w:rsidRPr="003B2D2B">
        <w:rPr>
          <w:rFonts w:ascii="Palatino Linotype" w:hAnsi="Palatino Linotype" w:cs="Arial"/>
          <w:i/>
          <w:sz w:val="24"/>
          <w:szCs w:val="24"/>
        </w:rPr>
        <w:t>“…</w:t>
      </w:r>
      <w:r w:rsidR="006A112C" w:rsidRPr="003B2D2B">
        <w:rPr>
          <w:rFonts w:ascii="Palatino Linotype" w:hAnsi="Palatino Linotype"/>
          <w:i/>
        </w:rPr>
        <w:t>razón por la cual es procedente ordenar el documento en donde conste las resoluciones o laudos que hayan sido sustanciados por el Sujeto Obligado, únicamente de las que hayan causado estado, en términos del considerando quinto del presente fallo.</w:t>
      </w:r>
      <w:r w:rsidR="003B2D2B" w:rsidRPr="003B2D2B">
        <w:rPr>
          <w:rFonts w:ascii="Palatino Linotype" w:hAnsi="Palatino Linotype"/>
          <w:i/>
        </w:rPr>
        <w:t>”</w:t>
      </w:r>
      <w:r w:rsidR="003B2D2B">
        <w:rPr>
          <w:rFonts w:ascii="Palatino Linotype" w:hAnsi="Palatino Linotype"/>
          <w:i/>
        </w:rPr>
        <w:t xml:space="preserve"> </w:t>
      </w:r>
      <w:r w:rsidR="003B2D2B">
        <w:rPr>
          <w:rFonts w:ascii="Palatino Linotype" w:hAnsi="Palatino Linotype"/>
        </w:rPr>
        <w:t xml:space="preserve"> </w:t>
      </w:r>
      <w:r w:rsidR="003B2D2B" w:rsidRPr="003B2D2B">
        <w:rPr>
          <w:rFonts w:ascii="Palatino Linotype" w:hAnsi="Palatino Linotype"/>
          <w:sz w:val="24"/>
          <w:szCs w:val="24"/>
        </w:rPr>
        <w:t xml:space="preserve">Sin embargo dicho punto no se encuentra ordenado dentro del resolutivo segundo aun y cuando fue requerido por el particular refiriéndolo en el artículo 92, fracción XL, lo que contraviene con el principio consagrado en el artículo </w:t>
      </w:r>
      <w:r w:rsidR="00A85D7A">
        <w:rPr>
          <w:rFonts w:ascii="Palatino Linotype" w:hAnsi="Palatino Linotype"/>
          <w:sz w:val="24"/>
          <w:szCs w:val="24"/>
        </w:rPr>
        <w:t>9</w:t>
      </w:r>
      <w:r w:rsidR="003B2D2B" w:rsidRPr="003B2D2B">
        <w:rPr>
          <w:rFonts w:ascii="Palatino Linotype" w:hAnsi="Palatino Linotype"/>
          <w:sz w:val="24"/>
          <w:szCs w:val="24"/>
        </w:rPr>
        <w:t xml:space="preserve"> en su fracción</w:t>
      </w:r>
      <w:r w:rsidR="003B2D2B">
        <w:rPr>
          <w:rFonts w:ascii="Palatino Linotype" w:hAnsi="Palatino Linotype"/>
          <w:sz w:val="24"/>
          <w:szCs w:val="24"/>
        </w:rPr>
        <w:t xml:space="preserve"> I.</w:t>
      </w:r>
    </w:p>
    <w:p w:rsidR="003B2D2B" w:rsidRDefault="003B2D2B" w:rsidP="003B2D2B">
      <w:pPr>
        <w:spacing w:before="100" w:beforeAutospacing="1" w:after="100" w:afterAutospacing="1"/>
        <w:ind w:left="709" w:right="757"/>
        <w:jc w:val="both"/>
        <w:rPr>
          <w:rFonts w:ascii="Palatino Linotype" w:hAnsi="Palatino Linotype" w:cs="Arial"/>
          <w:i/>
        </w:rPr>
      </w:pPr>
      <w:r>
        <w:rPr>
          <w:rFonts w:ascii="Palatino Linotype" w:hAnsi="Palatino Linotype" w:cs="Arial"/>
          <w:b/>
          <w:i/>
        </w:rPr>
        <w:t>“</w:t>
      </w:r>
      <w:r w:rsidRPr="000E16CE">
        <w:rPr>
          <w:rFonts w:ascii="Palatino Linotype" w:hAnsi="Palatino Linotype" w:cs="Arial"/>
          <w:b/>
          <w:i/>
        </w:rPr>
        <w:t>Artículo 9.</w:t>
      </w:r>
      <w:r>
        <w:rPr>
          <w:rFonts w:ascii="Palatino Linotype" w:hAnsi="Palatino Linotype" w:cs="Arial"/>
          <w:i/>
        </w:rPr>
        <w:t xml:space="preserve"> El Instituto deberá regir su funcionamiento de acuerdo a los siguientes principios:</w:t>
      </w:r>
    </w:p>
    <w:p w:rsidR="003B2D2B" w:rsidRDefault="003B2D2B" w:rsidP="003B2D2B">
      <w:pPr>
        <w:pStyle w:val="Prrafodelista"/>
        <w:numPr>
          <w:ilvl w:val="0"/>
          <w:numId w:val="5"/>
        </w:numPr>
        <w:spacing w:before="100" w:beforeAutospacing="1" w:after="100" w:afterAutospacing="1"/>
        <w:ind w:right="757"/>
        <w:jc w:val="both"/>
        <w:rPr>
          <w:rFonts w:ascii="Palatino Linotype" w:hAnsi="Palatino Linotype" w:cs="Arial"/>
          <w:i/>
        </w:rPr>
      </w:pPr>
      <w:r>
        <w:rPr>
          <w:rFonts w:ascii="Palatino Linotype" w:hAnsi="Palatino Linotype" w:cs="Arial"/>
          <w:i/>
        </w:rPr>
        <w:t>Certeza: Principio que otorga seguridad y certidumbre jurídica a los particulares, en virtud de que permite conocer si las acciones del Instituto son apegadas a derecho y garantiza que los procedimientos sean completamente verificables, fidedignos y confiables;</w:t>
      </w:r>
    </w:p>
    <w:p w:rsidR="003B2D2B" w:rsidRPr="009F1B96" w:rsidRDefault="003B2D2B" w:rsidP="009F1B96">
      <w:pPr>
        <w:spacing w:before="100" w:beforeAutospacing="1" w:after="100" w:afterAutospacing="1"/>
        <w:ind w:left="709" w:right="757"/>
        <w:jc w:val="both"/>
        <w:rPr>
          <w:rFonts w:ascii="Palatino Linotype" w:hAnsi="Palatino Linotype" w:cs="Arial"/>
          <w:i/>
        </w:rPr>
      </w:pPr>
      <w:r w:rsidRPr="00411080">
        <w:rPr>
          <w:rFonts w:ascii="Palatino Linotype" w:hAnsi="Palatino Linotype" w:cs="Arial"/>
          <w:i/>
        </w:rPr>
        <w:t>…</w:t>
      </w:r>
      <w:r>
        <w:rPr>
          <w:rFonts w:ascii="Palatino Linotype" w:hAnsi="Palatino Linotype" w:cs="Arial"/>
          <w:i/>
        </w:rPr>
        <w:t>”</w:t>
      </w:r>
    </w:p>
    <w:p w:rsidR="00F860A0" w:rsidRPr="00F860A0" w:rsidRDefault="003B2D2B" w:rsidP="00F860A0">
      <w:pPr>
        <w:spacing w:line="360" w:lineRule="auto"/>
        <w:jc w:val="both"/>
        <w:rPr>
          <w:rFonts w:ascii="Palatino Linotype" w:hAnsi="Palatino Linotype" w:cs="Arial"/>
          <w:sz w:val="24"/>
          <w:szCs w:val="24"/>
        </w:rPr>
      </w:pPr>
      <w:r>
        <w:rPr>
          <w:rFonts w:ascii="Palatino Linotype" w:hAnsi="Palatino Linotype" w:cs="Arial"/>
          <w:sz w:val="24"/>
          <w:szCs w:val="24"/>
        </w:rPr>
        <w:t xml:space="preserve">Por otra parte, </w:t>
      </w:r>
      <w:r w:rsidR="009F1B96">
        <w:rPr>
          <w:rFonts w:ascii="Palatino Linotype" w:hAnsi="Palatino Linotype" w:cs="Arial"/>
          <w:sz w:val="24"/>
          <w:szCs w:val="24"/>
        </w:rPr>
        <w:t xml:space="preserve">se advierte que la modalidad de entrega de la información requerida por el particular es a través de correo electrónico, es por eso que la Ponencia </w:t>
      </w:r>
      <w:proofErr w:type="spellStart"/>
      <w:r w:rsidR="009F1B96">
        <w:rPr>
          <w:rFonts w:ascii="Palatino Linotype" w:hAnsi="Palatino Linotype" w:cs="Arial"/>
          <w:sz w:val="24"/>
          <w:szCs w:val="24"/>
        </w:rPr>
        <w:t>resolutora</w:t>
      </w:r>
      <w:proofErr w:type="spellEnd"/>
      <w:r w:rsidR="009F1B96">
        <w:rPr>
          <w:rFonts w:ascii="Palatino Linotype" w:hAnsi="Palatino Linotype" w:cs="Arial"/>
          <w:sz w:val="24"/>
          <w:szCs w:val="24"/>
        </w:rPr>
        <w:t xml:space="preserve"> determinó hacer la entrega vía SAIMEX y correo electrónico, sin embargo, la que suscribe </w:t>
      </w:r>
      <w:r w:rsidR="00F860A0" w:rsidRPr="00F860A0">
        <w:rPr>
          <w:rFonts w:ascii="Palatino Linotype" w:hAnsi="Palatino Linotype" w:cs="Arial"/>
          <w:sz w:val="24"/>
          <w:szCs w:val="24"/>
        </w:rPr>
        <w:t xml:space="preserve">advierte que por el cúmulo de información y el periodo solicitado, la misma </w:t>
      </w:r>
      <w:r w:rsidR="00F860A0">
        <w:rPr>
          <w:rFonts w:ascii="Palatino Linotype" w:hAnsi="Palatino Linotype" w:cs="Arial"/>
          <w:sz w:val="24"/>
          <w:szCs w:val="24"/>
        </w:rPr>
        <w:t>pudiese no</w:t>
      </w:r>
      <w:r w:rsidR="00F860A0" w:rsidRPr="00F860A0">
        <w:rPr>
          <w:rFonts w:ascii="Palatino Linotype" w:hAnsi="Palatino Linotype" w:cs="Arial"/>
          <w:sz w:val="24"/>
          <w:szCs w:val="24"/>
        </w:rPr>
        <w:t xml:space="preserve"> ser proporcionada en el medio solicitado, </w:t>
      </w:r>
      <w:r w:rsidR="00A85D7A">
        <w:rPr>
          <w:rFonts w:ascii="Palatino Linotype" w:hAnsi="Palatino Linotype" w:cs="Arial"/>
          <w:sz w:val="24"/>
          <w:szCs w:val="24"/>
        </w:rPr>
        <w:t xml:space="preserve">por lo que la Ponencia debió advertir tal circunstancia pudiendo </w:t>
      </w:r>
      <w:r w:rsidR="00F860A0" w:rsidRPr="00F860A0">
        <w:rPr>
          <w:rFonts w:ascii="Palatino Linotype" w:hAnsi="Palatino Linotype" w:cs="Arial"/>
          <w:sz w:val="24"/>
          <w:szCs w:val="24"/>
        </w:rPr>
        <w:t xml:space="preserve">conceder acceso a los documentos mediante consulta directa, en las oficinas del </w:t>
      </w:r>
      <w:r w:rsidR="00F860A0" w:rsidRPr="00F860A0">
        <w:rPr>
          <w:rFonts w:ascii="Palatino Linotype" w:hAnsi="Palatino Linotype" w:cs="Arial"/>
          <w:b/>
          <w:sz w:val="24"/>
          <w:szCs w:val="24"/>
        </w:rPr>
        <w:t>SUJETO OBLIGADO</w:t>
      </w:r>
      <w:r w:rsidR="00F860A0" w:rsidRPr="00F860A0">
        <w:rPr>
          <w:rFonts w:ascii="Palatino Linotype" w:hAnsi="Palatino Linotype" w:cs="Arial"/>
          <w:sz w:val="24"/>
          <w:szCs w:val="24"/>
        </w:rPr>
        <w:t xml:space="preserve">, en términos de lo establecido en el artículo 158 de la Ley </w:t>
      </w:r>
      <w:r w:rsidR="00A85D7A">
        <w:rPr>
          <w:rFonts w:ascii="Palatino Linotype" w:hAnsi="Palatino Linotype" w:cs="Arial"/>
          <w:sz w:val="24"/>
          <w:szCs w:val="24"/>
        </w:rPr>
        <w:t>de Transparencia y Acceso a la I</w:t>
      </w:r>
      <w:r w:rsidR="00F860A0" w:rsidRPr="00F860A0">
        <w:rPr>
          <w:rFonts w:ascii="Palatino Linotype" w:hAnsi="Palatino Linotype" w:cs="Arial"/>
          <w:sz w:val="24"/>
          <w:szCs w:val="24"/>
        </w:rPr>
        <w:t xml:space="preserve">nformación </w:t>
      </w:r>
      <w:r w:rsidR="00A85D7A">
        <w:rPr>
          <w:rFonts w:ascii="Palatino Linotype" w:hAnsi="Palatino Linotype" w:cs="Arial"/>
          <w:sz w:val="24"/>
          <w:szCs w:val="24"/>
        </w:rPr>
        <w:lastRenderedPageBreak/>
        <w:t>Pública del E</w:t>
      </w:r>
      <w:r w:rsidR="00F860A0" w:rsidRPr="00F860A0">
        <w:rPr>
          <w:rFonts w:ascii="Palatino Linotype" w:hAnsi="Palatino Linotype" w:cs="Arial"/>
          <w:sz w:val="24"/>
          <w:szCs w:val="24"/>
        </w:rPr>
        <w:t>stado de México y Municipios. Para ello, será necesario que indique dirección, así como horario de atención (días y horas hábiles), así como el nombre del servidor público que le atenderá.</w:t>
      </w:r>
    </w:p>
    <w:p w:rsidR="00142B10" w:rsidRDefault="00352450" w:rsidP="002F537D">
      <w:pPr>
        <w:spacing w:before="100" w:beforeAutospacing="1" w:after="100" w:afterAutospacing="1" w:line="360" w:lineRule="auto"/>
        <w:ind w:right="49"/>
        <w:jc w:val="both"/>
        <w:rPr>
          <w:rFonts w:ascii="Palatino Linotype" w:hAnsi="Palatino Linotype" w:cs="Arial"/>
          <w:sz w:val="24"/>
          <w:szCs w:val="24"/>
        </w:rPr>
      </w:pPr>
      <w:r>
        <w:rPr>
          <w:rFonts w:ascii="Palatino Linotype" w:hAnsi="Palatino Linotype" w:cs="Arial"/>
          <w:sz w:val="24"/>
          <w:szCs w:val="24"/>
        </w:rPr>
        <w:t>Es así que</w:t>
      </w:r>
      <w:r w:rsidR="00222D15">
        <w:rPr>
          <w:rFonts w:ascii="Palatino Linotype" w:hAnsi="Palatino Linotype" w:cs="Arial"/>
          <w:sz w:val="24"/>
          <w:szCs w:val="24"/>
        </w:rPr>
        <w:t>, la qu</w:t>
      </w:r>
      <w:r w:rsidR="00222D15" w:rsidRPr="009F71D8">
        <w:rPr>
          <w:rFonts w:ascii="Palatino Linotype" w:hAnsi="Palatino Linotype" w:cs="Arial"/>
          <w:sz w:val="24"/>
          <w:szCs w:val="24"/>
        </w:rPr>
        <w:t xml:space="preserve">e suscribe emite </w:t>
      </w:r>
      <w:r w:rsidR="00222D15" w:rsidRPr="009F71D8">
        <w:rPr>
          <w:rFonts w:ascii="Palatino Linotype" w:hAnsi="Palatino Linotype" w:cs="Arial"/>
          <w:b/>
          <w:sz w:val="24"/>
          <w:szCs w:val="24"/>
        </w:rPr>
        <w:t>VOTO PARTICULAR</w:t>
      </w:r>
      <w:r w:rsidR="00222D15" w:rsidRPr="009F71D8">
        <w:rPr>
          <w:rFonts w:ascii="Palatino Linotype" w:hAnsi="Palatino Linotype" w:cs="Arial"/>
          <w:sz w:val="24"/>
          <w:szCs w:val="24"/>
        </w:rPr>
        <w:t>, pues se</w:t>
      </w:r>
      <w:r w:rsidR="00ED22F1">
        <w:rPr>
          <w:rFonts w:ascii="Palatino Linotype" w:hAnsi="Palatino Linotype" w:cs="Arial"/>
          <w:sz w:val="24"/>
          <w:szCs w:val="24"/>
        </w:rPr>
        <w:t xml:space="preserve"> insiste en que</w:t>
      </w:r>
      <w:r w:rsidR="00222D15">
        <w:rPr>
          <w:rFonts w:ascii="Palatino Linotype" w:hAnsi="Palatino Linotype" w:cs="Arial"/>
          <w:sz w:val="24"/>
          <w:szCs w:val="24"/>
        </w:rPr>
        <w:t xml:space="preserve"> la Ponencia </w:t>
      </w:r>
      <w:proofErr w:type="spellStart"/>
      <w:r w:rsidR="00222D15">
        <w:rPr>
          <w:rFonts w:ascii="Palatino Linotype" w:hAnsi="Palatino Linotype" w:cs="Arial"/>
          <w:sz w:val="24"/>
          <w:szCs w:val="24"/>
        </w:rPr>
        <w:t>Resolutora</w:t>
      </w:r>
      <w:proofErr w:type="spellEnd"/>
      <w:r w:rsidR="00222D15">
        <w:rPr>
          <w:rFonts w:ascii="Palatino Linotype" w:hAnsi="Palatino Linotype" w:cs="Arial"/>
          <w:sz w:val="24"/>
          <w:szCs w:val="24"/>
        </w:rPr>
        <w:t xml:space="preserve"> </w:t>
      </w:r>
      <w:r>
        <w:rPr>
          <w:rFonts w:ascii="Palatino Linotype" w:hAnsi="Palatino Linotype" w:cs="Arial"/>
          <w:sz w:val="24"/>
          <w:szCs w:val="24"/>
        </w:rPr>
        <w:t>debió ordenar dentro del resolutivo SEGUNDO</w:t>
      </w:r>
      <w:r w:rsidR="00F860A0">
        <w:rPr>
          <w:rFonts w:ascii="Palatino Linotype" w:hAnsi="Palatino Linotype" w:cs="Arial"/>
          <w:sz w:val="24"/>
          <w:szCs w:val="24"/>
        </w:rPr>
        <w:t xml:space="preserve"> el documento en donde consten las resoluciones o laudos que hayan sido sustanciados por </w:t>
      </w:r>
      <w:r w:rsidR="00F860A0" w:rsidRPr="006A112C">
        <w:rPr>
          <w:rFonts w:ascii="Palatino Linotype" w:hAnsi="Palatino Linotype" w:cs="Arial"/>
          <w:b/>
          <w:sz w:val="24"/>
          <w:szCs w:val="24"/>
        </w:rPr>
        <w:t>EL SUJETO OBLIGADO</w:t>
      </w:r>
      <w:r w:rsidR="00F860A0">
        <w:rPr>
          <w:rFonts w:ascii="Palatino Linotype" w:hAnsi="Palatino Linotype" w:cs="Arial"/>
          <w:b/>
          <w:sz w:val="24"/>
          <w:szCs w:val="24"/>
        </w:rPr>
        <w:t xml:space="preserve">, </w:t>
      </w:r>
      <w:r w:rsidR="00F860A0">
        <w:rPr>
          <w:rFonts w:ascii="Palatino Linotype" w:hAnsi="Palatino Linotype" w:cs="Arial"/>
          <w:sz w:val="24"/>
          <w:szCs w:val="24"/>
        </w:rPr>
        <w:t xml:space="preserve">únicamente las que hayan causado </w:t>
      </w:r>
      <w:r w:rsidR="00A85D7A">
        <w:rPr>
          <w:rFonts w:ascii="Palatino Linotype" w:hAnsi="Palatino Linotype" w:cs="Arial"/>
          <w:sz w:val="24"/>
          <w:szCs w:val="24"/>
        </w:rPr>
        <w:t xml:space="preserve">estado a la fecha de la solicitud </w:t>
      </w:r>
      <w:r w:rsidR="00F860A0">
        <w:rPr>
          <w:rFonts w:ascii="Palatino Linotype" w:hAnsi="Palatino Linotype" w:cs="Arial"/>
          <w:sz w:val="24"/>
          <w:szCs w:val="24"/>
        </w:rPr>
        <w:t xml:space="preserve">asimismo se debió </w:t>
      </w:r>
      <w:r w:rsidR="00A85D7A">
        <w:rPr>
          <w:rFonts w:ascii="Palatino Linotype" w:hAnsi="Palatino Linotype" w:cs="Arial"/>
          <w:sz w:val="24"/>
          <w:szCs w:val="24"/>
        </w:rPr>
        <w:t xml:space="preserve">contemplar </w:t>
      </w:r>
      <w:r w:rsidR="00F860A0">
        <w:rPr>
          <w:rFonts w:ascii="Palatino Linotype" w:hAnsi="Palatino Linotype" w:cs="Arial"/>
          <w:sz w:val="24"/>
          <w:szCs w:val="24"/>
        </w:rPr>
        <w:t xml:space="preserve">el cambio de modalidad debido a la cantidad de </w:t>
      </w:r>
      <w:r w:rsidR="00A85D7A">
        <w:rPr>
          <w:rFonts w:ascii="Palatino Linotype" w:hAnsi="Palatino Linotype" w:cs="Arial"/>
          <w:sz w:val="24"/>
          <w:szCs w:val="24"/>
        </w:rPr>
        <w:t>información que se ordenó</w:t>
      </w:r>
      <w:r w:rsidR="00ED22F1">
        <w:rPr>
          <w:rFonts w:ascii="Palatino Linotype" w:hAnsi="Palatino Linotype" w:cs="Arial"/>
          <w:sz w:val="24"/>
          <w:szCs w:val="24"/>
        </w:rPr>
        <w:t>;</w:t>
      </w:r>
      <w:r>
        <w:rPr>
          <w:rFonts w:ascii="Palatino Linotype" w:hAnsi="Palatino Linotype" w:cs="Arial"/>
          <w:sz w:val="24"/>
          <w:szCs w:val="24"/>
        </w:rPr>
        <w:t xml:space="preserve"> lo anterior,</w:t>
      </w:r>
      <w:r w:rsidR="004773D0">
        <w:rPr>
          <w:rFonts w:ascii="Palatino Linotype" w:hAnsi="Palatino Linotype" w:cs="Arial"/>
          <w:sz w:val="24"/>
          <w:szCs w:val="24"/>
        </w:rPr>
        <w:t xml:space="preserve"> en atención los principios de </w:t>
      </w:r>
      <w:r w:rsidR="00142B10">
        <w:rPr>
          <w:rFonts w:ascii="Palatino Linotype" w:hAnsi="Palatino Linotype" w:cs="Arial"/>
          <w:sz w:val="24"/>
          <w:szCs w:val="24"/>
        </w:rPr>
        <w:t>exhaustividad y congruencia y bajo lo previsto en el artículo 9</w:t>
      </w:r>
      <w:r w:rsidR="00ED22F1">
        <w:rPr>
          <w:rFonts w:ascii="Palatino Linotype" w:hAnsi="Palatino Linotype" w:cs="Arial"/>
          <w:sz w:val="24"/>
          <w:szCs w:val="24"/>
        </w:rPr>
        <w:t>,</w:t>
      </w:r>
      <w:r w:rsidR="00142B10">
        <w:rPr>
          <w:rFonts w:ascii="Palatino Linotype" w:hAnsi="Palatino Linotype" w:cs="Arial"/>
          <w:sz w:val="24"/>
          <w:szCs w:val="24"/>
        </w:rPr>
        <w:t xml:space="preserve"> fracciones I y II de la Ley de Transparencia y Acceso a la Información Pública del estado de México y Municipios.</w:t>
      </w:r>
    </w:p>
    <w:p w:rsidR="00142B10" w:rsidRDefault="00142B10" w:rsidP="00222D15">
      <w:pPr>
        <w:spacing w:after="0" w:line="360" w:lineRule="auto"/>
        <w:ind w:right="49"/>
        <w:jc w:val="both"/>
        <w:rPr>
          <w:rFonts w:ascii="Palatino Linotype" w:hAnsi="Palatino Linotype" w:cs="Arial"/>
          <w:sz w:val="24"/>
          <w:szCs w:val="24"/>
        </w:rPr>
      </w:pPr>
    </w:p>
    <w:p w:rsidR="00142B10" w:rsidRDefault="00142B10" w:rsidP="00222D15">
      <w:pPr>
        <w:spacing w:after="0" w:line="360" w:lineRule="auto"/>
        <w:ind w:right="49"/>
        <w:jc w:val="both"/>
        <w:rPr>
          <w:rFonts w:ascii="Palatino Linotype" w:hAnsi="Palatino Linotype" w:cs="Arial"/>
          <w:sz w:val="24"/>
          <w:szCs w:val="24"/>
        </w:rPr>
      </w:pPr>
    </w:p>
    <w:p w:rsidR="00D83EB3" w:rsidRDefault="00D83EB3" w:rsidP="00222D15">
      <w:pPr>
        <w:spacing w:after="0" w:line="360" w:lineRule="auto"/>
        <w:ind w:right="49"/>
        <w:jc w:val="both"/>
        <w:rPr>
          <w:rFonts w:ascii="Palatino Linotype" w:hAnsi="Palatino Linotype" w:cs="Arial"/>
          <w:sz w:val="24"/>
          <w:szCs w:val="24"/>
        </w:rPr>
      </w:pPr>
    </w:p>
    <w:p w:rsidR="001B41F6" w:rsidRDefault="001B41F6" w:rsidP="00222D15">
      <w:pPr>
        <w:spacing w:after="0" w:line="360" w:lineRule="auto"/>
        <w:ind w:right="49"/>
        <w:jc w:val="both"/>
        <w:rPr>
          <w:rFonts w:ascii="Palatino Linotype" w:hAnsi="Palatino Linotype" w:cs="Arial"/>
          <w:sz w:val="24"/>
          <w:szCs w:val="24"/>
        </w:rPr>
      </w:pPr>
    </w:p>
    <w:p w:rsidR="00142B10" w:rsidRPr="002601BD" w:rsidRDefault="00142B10" w:rsidP="00222D15">
      <w:pPr>
        <w:spacing w:after="0" w:line="360" w:lineRule="auto"/>
        <w:ind w:right="49"/>
        <w:jc w:val="both"/>
        <w:rPr>
          <w:rFonts w:ascii="Palatino Linotype" w:hAnsi="Palatino Linotype" w:cs="Arial"/>
          <w:sz w:val="24"/>
          <w:szCs w:val="24"/>
        </w:rPr>
      </w:pPr>
    </w:p>
    <w:tbl>
      <w:tblPr>
        <w:tblW w:w="4393" w:type="dxa"/>
        <w:jc w:val="center"/>
        <w:tblLayout w:type="fixed"/>
        <w:tblLook w:val="04A0" w:firstRow="1" w:lastRow="0" w:firstColumn="1" w:lastColumn="0" w:noHBand="0" w:noVBand="1"/>
      </w:tblPr>
      <w:tblGrid>
        <w:gridCol w:w="4393"/>
      </w:tblGrid>
      <w:tr w:rsidR="00222D15" w:rsidRPr="009F71D8" w:rsidTr="00FF74B8">
        <w:trPr>
          <w:jc w:val="center"/>
        </w:trPr>
        <w:tc>
          <w:tcPr>
            <w:tcW w:w="4393" w:type="dxa"/>
          </w:tcPr>
          <w:p w:rsidR="00222D15" w:rsidRPr="009F71D8" w:rsidRDefault="00222D15" w:rsidP="00FF74B8">
            <w:pPr>
              <w:spacing w:after="0"/>
              <w:ind w:right="51"/>
              <w:jc w:val="center"/>
              <w:rPr>
                <w:rFonts w:ascii="Palatino Linotype" w:hAnsi="Palatino Linotype"/>
                <w:b/>
                <w:sz w:val="24"/>
                <w:szCs w:val="24"/>
              </w:rPr>
            </w:pPr>
            <w:r w:rsidRPr="009F71D8">
              <w:rPr>
                <w:rFonts w:ascii="Palatino Linotype" w:hAnsi="Palatino Linotype"/>
                <w:b/>
                <w:sz w:val="24"/>
                <w:szCs w:val="24"/>
              </w:rPr>
              <w:t>EVA ABAID YAPUR</w:t>
            </w:r>
          </w:p>
          <w:p w:rsidR="00222D15" w:rsidRDefault="00222D15" w:rsidP="001B41F6">
            <w:pPr>
              <w:spacing w:after="0"/>
              <w:ind w:right="51"/>
              <w:jc w:val="center"/>
              <w:rPr>
                <w:rFonts w:ascii="Palatino Linotype" w:hAnsi="Palatino Linotype"/>
                <w:b/>
                <w:sz w:val="24"/>
                <w:szCs w:val="24"/>
              </w:rPr>
            </w:pPr>
            <w:r w:rsidRPr="009F71D8">
              <w:rPr>
                <w:rFonts w:ascii="Palatino Linotype" w:hAnsi="Palatino Linotype"/>
                <w:b/>
                <w:sz w:val="24"/>
                <w:szCs w:val="24"/>
              </w:rPr>
              <w:t>COMISIONADA</w:t>
            </w:r>
          </w:p>
          <w:p w:rsidR="004219DA" w:rsidRPr="009F71D8" w:rsidRDefault="004219DA" w:rsidP="001B41F6">
            <w:pPr>
              <w:spacing w:after="0"/>
              <w:ind w:right="51"/>
              <w:jc w:val="center"/>
              <w:rPr>
                <w:rFonts w:ascii="Palatino Linotype" w:hAnsi="Palatino Linotype"/>
                <w:b/>
                <w:sz w:val="24"/>
                <w:szCs w:val="24"/>
              </w:rPr>
            </w:pPr>
            <w:r>
              <w:rPr>
                <w:rFonts w:ascii="Palatino Linotype" w:hAnsi="Palatino Linotype"/>
                <w:b/>
                <w:sz w:val="24"/>
                <w:szCs w:val="24"/>
              </w:rPr>
              <w:t>(RÚBRICA)</w:t>
            </w:r>
            <w:bookmarkStart w:id="0" w:name="_GoBack"/>
            <w:bookmarkEnd w:id="0"/>
          </w:p>
        </w:tc>
      </w:tr>
    </w:tbl>
    <w:p w:rsidR="00222D15" w:rsidRPr="001B41F6" w:rsidRDefault="00222D15" w:rsidP="00222D15">
      <w:pPr>
        <w:widowControl w:val="0"/>
        <w:spacing w:after="0"/>
        <w:ind w:right="49"/>
        <w:jc w:val="both"/>
        <w:rPr>
          <w:rFonts w:ascii="Palatino Linotype" w:eastAsia="Calibri" w:hAnsi="Palatino Linotype" w:cs="Arial"/>
          <w:color w:val="000000" w:themeColor="text1"/>
          <w:sz w:val="10"/>
          <w:szCs w:val="10"/>
        </w:rPr>
      </w:pPr>
    </w:p>
    <w:p w:rsidR="00222D15" w:rsidRPr="002D79AC" w:rsidRDefault="00222D15" w:rsidP="00222D15">
      <w:pPr>
        <w:widowControl w:val="0"/>
        <w:spacing w:after="0" w:line="240" w:lineRule="auto"/>
        <w:ind w:right="51"/>
        <w:jc w:val="both"/>
        <w:rPr>
          <w:rFonts w:ascii="Palatino Linotype" w:hAnsi="Palatino Linotype" w:cs="Arial"/>
          <w:sz w:val="20"/>
          <w:szCs w:val="20"/>
        </w:rPr>
      </w:pPr>
      <w:r w:rsidRPr="002D79AC">
        <w:rPr>
          <w:rFonts w:ascii="Palatino Linotype" w:eastAsia="Calibri" w:hAnsi="Palatino Linotype" w:cs="Arial"/>
          <w:color w:val="000000" w:themeColor="text1"/>
          <w:sz w:val="20"/>
          <w:szCs w:val="20"/>
        </w:rPr>
        <w:t>Esta hoja corresponde al voto particular emitido en</w:t>
      </w:r>
      <w:r w:rsidR="00792EC9">
        <w:rPr>
          <w:rFonts w:ascii="Palatino Linotype" w:eastAsia="Calibri" w:hAnsi="Palatino Linotype" w:cs="Arial"/>
          <w:color w:val="000000" w:themeColor="text1"/>
          <w:sz w:val="20"/>
          <w:szCs w:val="20"/>
        </w:rPr>
        <w:t xml:space="preserve"> la resolución</w:t>
      </w:r>
      <w:r w:rsidRPr="002D79AC">
        <w:rPr>
          <w:rFonts w:ascii="Palatino Linotype" w:eastAsia="Calibri" w:hAnsi="Palatino Linotype" w:cs="Arial"/>
          <w:color w:val="000000" w:themeColor="text1"/>
          <w:sz w:val="20"/>
          <w:szCs w:val="20"/>
        </w:rPr>
        <w:t xml:space="preserve"> </w:t>
      </w:r>
      <w:r w:rsidR="00792EC9">
        <w:rPr>
          <w:rFonts w:ascii="Palatino Linotype" w:eastAsia="Calibri" w:hAnsi="Palatino Linotype" w:cs="Arial"/>
          <w:color w:val="000000" w:themeColor="text1"/>
          <w:sz w:val="20"/>
          <w:szCs w:val="20"/>
        </w:rPr>
        <w:t>d</w:t>
      </w:r>
      <w:r w:rsidRPr="002D79AC">
        <w:rPr>
          <w:rFonts w:ascii="Palatino Linotype" w:eastAsia="Calibri" w:hAnsi="Palatino Linotype" w:cs="Arial"/>
          <w:color w:val="000000" w:themeColor="text1"/>
          <w:sz w:val="20"/>
          <w:szCs w:val="20"/>
        </w:rPr>
        <w:t xml:space="preserve">el recurso de revisión </w:t>
      </w:r>
      <w:r w:rsidR="00F860A0">
        <w:rPr>
          <w:rFonts w:ascii="Palatino Linotype" w:hAnsi="Palatino Linotype" w:cs="Arial"/>
          <w:bCs/>
          <w:sz w:val="20"/>
          <w:szCs w:val="20"/>
        </w:rPr>
        <w:t>03974</w:t>
      </w:r>
      <w:r w:rsidRPr="002D79AC">
        <w:rPr>
          <w:rFonts w:ascii="Palatino Linotype" w:hAnsi="Palatino Linotype" w:cs="Arial"/>
          <w:bCs/>
          <w:sz w:val="20"/>
          <w:szCs w:val="20"/>
        </w:rPr>
        <w:t>/INFOEM/IP/RR/201</w:t>
      </w:r>
      <w:r w:rsidR="00657587">
        <w:rPr>
          <w:rFonts w:ascii="Palatino Linotype" w:hAnsi="Palatino Linotype" w:cs="Arial"/>
          <w:bCs/>
          <w:sz w:val="20"/>
          <w:szCs w:val="20"/>
        </w:rPr>
        <w:t>8</w:t>
      </w:r>
      <w:r w:rsidRPr="002D79AC">
        <w:rPr>
          <w:rFonts w:ascii="Palatino Linotype" w:hAnsi="Palatino Linotype" w:cs="Arial"/>
          <w:bCs/>
          <w:sz w:val="20"/>
          <w:szCs w:val="20"/>
        </w:rPr>
        <w:t>,</w:t>
      </w:r>
      <w:r w:rsidRPr="002D79AC">
        <w:rPr>
          <w:rFonts w:ascii="Palatino Linotype" w:hAnsi="Palatino Linotype" w:cs="Arial"/>
          <w:b/>
          <w:bCs/>
          <w:sz w:val="20"/>
          <w:szCs w:val="20"/>
        </w:rPr>
        <w:t xml:space="preserve"> </w:t>
      </w:r>
      <w:r w:rsidRPr="002D79AC">
        <w:rPr>
          <w:rFonts w:ascii="Palatino Linotype" w:hAnsi="Palatino Linotype" w:cs="Arial"/>
          <w:bCs/>
          <w:sz w:val="20"/>
          <w:szCs w:val="20"/>
        </w:rPr>
        <w:t xml:space="preserve">aprobado </w:t>
      </w:r>
      <w:r w:rsidR="00F860A0">
        <w:rPr>
          <w:rFonts w:ascii="Palatino Linotype" w:hAnsi="Palatino Linotype" w:cs="Arial"/>
          <w:bCs/>
          <w:sz w:val="20"/>
          <w:szCs w:val="20"/>
        </w:rPr>
        <w:t>el nueve de enero de dos mil diecinueve</w:t>
      </w:r>
      <w:r w:rsidRPr="002D79AC">
        <w:rPr>
          <w:rFonts w:ascii="Palatino Linotype" w:hAnsi="Palatino Linotype" w:cs="Arial"/>
          <w:bCs/>
          <w:sz w:val="20"/>
          <w:szCs w:val="20"/>
        </w:rPr>
        <w:t>.</w:t>
      </w:r>
    </w:p>
    <w:p w:rsidR="00222D15" w:rsidRPr="00263C9A" w:rsidRDefault="00222D15" w:rsidP="00222D15">
      <w:pPr>
        <w:spacing w:after="0" w:line="240" w:lineRule="auto"/>
        <w:ind w:right="51"/>
        <w:jc w:val="both"/>
        <w:rPr>
          <w:rFonts w:ascii="Palatino Linotype" w:eastAsia="Calibri" w:hAnsi="Palatino Linotype" w:cs="Arial"/>
          <w:color w:val="000000" w:themeColor="text1"/>
          <w:sz w:val="10"/>
          <w:szCs w:val="10"/>
        </w:rPr>
      </w:pPr>
    </w:p>
    <w:p w:rsidR="00C23B43" w:rsidRDefault="00E43478" w:rsidP="001B41F6">
      <w:pPr>
        <w:spacing w:after="0" w:line="240" w:lineRule="auto"/>
        <w:ind w:right="51"/>
        <w:jc w:val="both"/>
      </w:pPr>
      <w:r>
        <w:rPr>
          <w:rFonts w:ascii="Palatino Linotype" w:eastAsia="Calibri" w:hAnsi="Palatino Linotype" w:cs="Arial"/>
          <w:color w:val="000000" w:themeColor="text1"/>
          <w:sz w:val="20"/>
          <w:szCs w:val="20"/>
        </w:rPr>
        <w:t>YSM/EJCA</w:t>
      </w:r>
    </w:p>
    <w:sectPr w:rsidR="00C23B43" w:rsidSect="005A28C0">
      <w:headerReference w:type="even" r:id="rId7"/>
      <w:headerReference w:type="default" r:id="rId8"/>
      <w:footerReference w:type="default" r:id="rId9"/>
      <w:headerReference w:type="first" r:id="rId10"/>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264D" w:rsidRDefault="00CC264D" w:rsidP="00222D15">
      <w:pPr>
        <w:spacing w:after="0" w:line="240" w:lineRule="auto"/>
      </w:pPr>
      <w:r>
        <w:separator/>
      </w:r>
    </w:p>
  </w:endnote>
  <w:endnote w:type="continuationSeparator" w:id="0">
    <w:p w:rsidR="00CC264D" w:rsidRDefault="00CC264D" w:rsidP="00222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4219DA" w:rsidP="00DC5C4E">
    <w:pPr>
      <w:pStyle w:val="Piedepgina"/>
      <w:tabs>
        <w:tab w:val="clear" w:pos="4252"/>
        <w:tab w:val="left" w:pos="4228"/>
      </w:tabs>
      <w:rPr>
        <w:rFonts w:ascii="Palatino Linotype" w:hAnsi="Palatino Linotype" w:cs="Arial"/>
        <w:b/>
        <w:bCs/>
        <w:sz w:val="20"/>
        <w:szCs w:val="20"/>
      </w:rPr>
    </w:pPr>
  </w:p>
  <w:p w:rsidR="005C7C8F" w:rsidRDefault="004219DA" w:rsidP="00DC5C4E">
    <w:pPr>
      <w:pStyle w:val="Piedepgina"/>
      <w:tabs>
        <w:tab w:val="clear" w:pos="4252"/>
        <w:tab w:val="left" w:pos="4228"/>
      </w:tabs>
      <w:rPr>
        <w:rFonts w:ascii="Palatino Linotype" w:hAnsi="Palatino Linotype" w:cs="Arial"/>
        <w:b/>
        <w:bCs/>
        <w:sz w:val="20"/>
        <w:szCs w:val="20"/>
      </w:rPr>
    </w:pPr>
  </w:p>
  <w:p w:rsidR="005C7C8F" w:rsidRDefault="004219DA" w:rsidP="00DC5C4E">
    <w:pPr>
      <w:pStyle w:val="Piedepgina"/>
      <w:tabs>
        <w:tab w:val="clear" w:pos="4252"/>
        <w:tab w:val="left" w:pos="4228"/>
      </w:tabs>
      <w:rPr>
        <w:rFonts w:ascii="Palatino Linotype" w:hAnsi="Palatino Linotype" w:cs="Arial"/>
        <w:b/>
        <w:bCs/>
        <w:sz w:val="20"/>
        <w:szCs w:val="20"/>
      </w:rPr>
    </w:pPr>
  </w:p>
  <w:p w:rsidR="005C7C8F" w:rsidRDefault="004219DA" w:rsidP="00DC5C4E">
    <w:pPr>
      <w:pStyle w:val="Piedepgina"/>
      <w:rPr>
        <w:rFonts w:ascii="Palatino Linotype" w:hAnsi="Palatino Linotype" w:cs="Arial"/>
        <w:b/>
        <w:bCs/>
        <w:sz w:val="20"/>
        <w:szCs w:val="20"/>
      </w:rPr>
    </w:pPr>
  </w:p>
  <w:p w:rsidR="005C7C8F" w:rsidRPr="00F12350" w:rsidRDefault="00C92D53" w:rsidP="00DC5C4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4219DA">
      <w:rPr>
        <w:rFonts w:ascii="Palatino Linotype" w:hAnsi="Palatino Linotype" w:cs="Arial"/>
        <w:b/>
        <w:bCs/>
        <w:noProof/>
        <w:sz w:val="20"/>
        <w:szCs w:val="20"/>
      </w:rPr>
      <w:t>4</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4219DA">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p>
  <w:p w:rsidR="005C7C8F" w:rsidRDefault="004219DA" w:rsidP="00DC5C4E">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264D" w:rsidRDefault="00CC264D" w:rsidP="00222D15">
      <w:pPr>
        <w:spacing w:after="0" w:line="240" w:lineRule="auto"/>
      </w:pPr>
      <w:r>
        <w:separator/>
      </w:r>
    </w:p>
  </w:footnote>
  <w:footnote w:type="continuationSeparator" w:id="0">
    <w:p w:rsidR="00CC264D" w:rsidRDefault="00CC264D" w:rsidP="00222D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4219D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49" type="#_x0000_t136" style="position:absolute;margin-left:0;margin-top:0;width:611.25pt;height:91.65pt;rotation:315;z-index:-25165926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C92D53" w:rsidP="00DC5C4E">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6192" behindDoc="1" locked="0" layoutInCell="1" allowOverlap="1" wp14:anchorId="01A823FD" wp14:editId="2A79579C">
          <wp:simplePos x="0" y="0"/>
          <wp:positionH relativeFrom="column">
            <wp:posOffset>-632460</wp:posOffset>
          </wp:positionH>
          <wp:positionV relativeFrom="paragraph">
            <wp:posOffset>-354965</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ve="http://schemas.openxmlformats.org/markup-compatibility/2006"/>
                    </a:ext>
                  </a:extLst>
                </pic:spPr>
              </pic:pic>
            </a:graphicData>
          </a:graphic>
        </wp:anchor>
      </w:drawing>
    </w:r>
  </w:p>
  <w:p w:rsidR="00894E9C" w:rsidRDefault="004219DA" w:rsidP="00DC5C4E">
    <w:pPr>
      <w:pStyle w:val="Encabezado"/>
      <w:tabs>
        <w:tab w:val="clear" w:pos="4252"/>
        <w:tab w:val="clear" w:pos="8504"/>
        <w:tab w:val="left" w:pos="2326"/>
      </w:tabs>
      <w:jc w:val="right"/>
      <w:rPr>
        <w:rFonts w:ascii="Palatino Linotype" w:hAnsi="Palatino Linotype" w:cs="Arial"/>
        <w:sz w:val="20"/>
        <w:szCs w:val="20"/>
      </w:rPr>
    </w:pPr>
  </w:p>
  <w:p w:rsidR="00894E9C" w:rsidRDefault="004219DA" w:rsidP="00DC5C4E">
    <w:pPr>
      <w:pStyle w:val="Encabezado"/>
      <w:tabs>
        <w:tab w:val="clear" w:pos="4252"/>
        <w:tab w:val="clear" w:pos="8504"/>
        <w:tab w:val="left" w:pos="2326"/>
      </w:tabs>
      <w:jc w:val="right"/>
      <w:rPr>
        <w:rFonts w:ascii="Palatino Linotype" w:hAnsi="Palatino Linotype" w:cs="Arial"/>
        <w:sz w:val="20"/>
        <w:szCs w:val="20"/>
      </w:rPr>
    </w:pPr>
  </w:p>
  <w:p w:rsidR="005C7C8F" w:rsidRDefault="00C92D53" w:rsidP="00DC5C4E">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A91250" w:rsidRDefault="00C92D53" w:rsidP="00894E9C">
    <w:pPr>
      <w:pStyle w:val="Encabezado"/>
      <w:tabs>
        <w:tab w:val="clear" w:pos="4252"/>
        <w:tab w:val="clear" w:pos="8504"/>
        <w:tab w:val="left" w:pos="2326"/>
      </w:tabs>
      <w:ind w:left="2832"/>
      <w:jc w:val="right"/>
      <w:rPr>
        <w:rFonts w:ascii="Palatino Linotype" w:hAnsi="Palatino Linotype" w:cs="Arial"/>
        <w:sz w:val="20"/>
        <w:szCs w:val="20"/>
      </w:rPr>
    </w:pPr>
    <w:r>
      <w:rPr>
        <w:rFonts w:ascii="Palatino Linotype" w:hAnsi="Palatino Linotype" w:cs="Arial"/>
        <w:sz w:val="20"/>
        <w:szCs w:val="20"/>
      </w:rPr>
      <w:tab/>
    </w:r>
    <w:r w:rsidRPr="00706042">
      <w:rPr>
        <w:rFonts w:ascii="Palatino Linotype" w:hAnsi="Palatino Linotype" w:cs="Arial"/>
        <w:sz w:val="20"/>
        <w:szCs w:val="20"/>
      </w:rPr>
      <w:t>RECURSO DE REVISIÓN</w:t>
    </w:r>
    <w:r>
      <w:rPr>
        <w:rFonts w:ascii="Palatino Linotype" w:hAnsi="Palatino Linotype" w:cs="Arial"/>
        <w:sz w:val="20"/>
        <w:szCs w:val="20"/>
      </w:rPr>
      <w:t xml:space="preserve"> </w:t>
    </w:r>
    <w:r w:rsidRPr="00A91250">
      <w:rPr>
        <w:rFonts w:ascii="Palatino Linotype" w:hAnsi="Palatino Linotype" w:cs="Arial"/>
        <w:sz w:val="20"/>
        <w:szCs w:val="20"/>
      </w:rPr>
      <w:t>0</w:t>
    </w:r>
    <w:r w:rsidR="0046713B">
      <w:rPr>
        <w:rFonts w:ascii="Palatino Linotype" w:hAnsi="Palatino Linotype" w:cs="Arial"/>
        <w:sz w:val="20"/>
        <w:szCs w:val="20"/>
      </w:rPr>
      <w:t>3974</w:t>
    </w:r>
    <w:r w:rsidRPr="00A91250">
      <w:rPr>
        <w:rFonts w:ascii="Palatino Linotype" w:hAnsi="Palatino Linotype" w:cs="Arial"/>
        <w:sz w:val="20"/>
        <w:szCs w:val="20"/>
      </w:rPr>
      <w:t>/INFOEM/IP/RR/201</w:t>
    </w:r>
    <w:r w:rsidR="001354EB">
      <w:rPr>
        <w:rFonts w:ascii="Palatino Linotype" w:hAnsi="Palatino Linotype" w:cs="Arial"/>
        <w:sz w:val="20"/>
        <w:szCs w:val="20"/>
      </w:rPr>
      <w:t>8</w:t>
    </w:r>
  </w:p>
  <w:p w:rsidR="00D406EF" w:rsidRDefault="004219DA" w:rsidP="005A28C0">
    <w:pPr>
      <w:pStyle w:val="Encabezado"/>
      <w:tabs>
        <w:tab w:val="clear" w:pos="4252"/>
        <w:tab w:val="clear" w:pos="8504"/>
        <w:tab w:val="left" w:pos="2326"/>
      </w:tabs>
      <w:ind w:left="2832"/>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0;margin-top:0;width:614.65pt;height:78.1pt;rotation:315;z-index:-251658240;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4219D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51" type="#_x0000_t136" style="position:absolute;margin-left:0;margin-top:0;width:611.25pt;height:91.65pt;rotation:315;z-index:-251657216;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A7578"/>
    <w:multiLevelType w:val="multilevel"/>
    <w:tmpl w:val="6994D100"/>
    <w:lvl w:ilvl="0">
      <w:start w:val="1"/>
      <w:numFmt w:val="lowerLetter"/>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AA77671"/>
    <w:multiLevelType w:val="hybridMultilevel"/>
    <w:tmpl w:val="01380F20"/>
    <w:lvl w:ilvl="0" w:tplc="95FA2414">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nsid w:val="387067B2"/>
    <w:multiLevelType w:val="hybridMultilevel"/>
    <w:tmpl w:val="EF426112"/>
    <w:lvl w:ilvl="0" w:tplc="3DF2FE56">
      <w:start w:val="1"/>
      <w:numFmt w:val="decimal"/>
      <w:lvlText w:val="%1."/>
      <w:lvlJc w:val="lef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4162055F"/>
    <w:multiLevelType w:val="multilevel"/>
    <w:tmpl w:val="6994D100"/>
    <w:lvl w:ilvl="0">
      <w:start w:val="1"/>
      <w:numFmt w:val="lowerLetter"/>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2586F73"/>
    <w:multiLevelType w:val="hybridMultilevel"/>
    <w:tmpl w:val="FBD6043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D15"/>
    <w:rsid w:val="001354EB"/>
    <w:rsid w:val="001375AB"/>
    <w:rsid w:val="00142B10"/>
    <w:rsid w:val="00177DDB"/>
    <w:rsid w:val="001B41F6"/>
    <w:rsid w:val="00222D15"/>
    <w:rsid w:val="00280712"/>
    <w:rsid w:val="002F537D"/>
    <w:rsid w:val="00352450"/>
    <w:rsid w:val="00352721"/>
    <w:rsid w:val="003B2D2B"/>
    <w:rsid w:val="004219DA"/>
    <w:rsid w:val="00434F2D"/>
    <w:rsid w:val="0046713B"/>
    <w:rsid w:val="004773D0"/>
    <w:rsid w:val="004801C3"/>
    <w:rsid w:val="0051785B"/>
    <w:rsid w:val="00534C05"/>
    <w:rsid w:val="00642D83"/>
    <w:rsid w:val="006537E7"/>
    <w:rsid w:val="00657587"/>
    <w:rsid w:val="006A112C"/>
    <w:rsid w:val="0075624F"/>
    <w:rsid w:val="00784D68"/>
    <w:rsid w:val="00792EC9"/>
    <w:rsid w:val="008C4B77"/>
    <w:rsid w:val="009F1B96"/>
    <w:rsid w:val="00A85D7A"/>
    <w:rsid w:val="00AE56B4"/>
    <w:rsid w:val="00B26C8F"/>
    <w:rsid w:val="00B65E8A"/>
    <w:rsid w:val="00C23B43"/>
    <w:rsid w:val="00C92D53"/>
    <w:rsid w:val="00C9714C"/>
    <w:rsid w:val="00CC264D"/>
    <w:rsid w:val="00D34ECE"/>
    <w:rsid w:val="00D83EB3"/>
    <w:rsid w:val="00D9781B"/>
    <w:rsid w:val="00E02985"/>
    <w:rsid w:val="00E43478"/>
    <w:rsid w:val="00E471A2"/>
    <w:rsid w:val="00E47517"/>
    <w:rsid w:val="00E838CF"/>
    <w:rsid w:val="00E842B6"/>
    <w:rsid w:val="00E97C45"/>
    <w:rsid w:val="00EA3494"/>
    <w:rsid w:val="00ED22F1"/>
    <w:rsid w:val="00EE67AD"/>
    <w:rsid w:val="00F3668C"/>
    <w:rsid w:val="00F860A0"/>
    <w:rsid w:val="00FA1B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25C2A7B3-F5A5-4343-88A8-AF6F94594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2D1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22D15"/>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22D15"/>
    <w:rPr>
      <w:rFonts w:eastAsiaTheme="minorEastAsia"/>
      <w:sz w:val="24"/>
      <w:szCs w:val="24"/>
      <w:lang w:val="es-ES_tradnl" w:eastAsia="es-ES"/>
    </w:rPr>
  </w:style>
  <w:style w:type="paragraph" w:styleId="Piedepgina">
    <w:name w:val="footer"/>
    <w:basedOn w:val="Normal"/>
    <w:link w:val="PiedepginaCar"/>
    <w:uiPriority w:val="99"/>
    <w:unhideWhenUsed/>
    <w:rsid w:val="00222D15"/>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22D15"/>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65758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57587"/>
    <w:rPr>
      <w:rFonts w:ascii="Segoe UI" w:hAnsi="Segoe UI" w:cs="Segoe UI"/>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E97C45"/>
    <w:pPr>
      <w:spacing w:after="0" w:line="240" w:lineRule="auto"/>
      <w:ind w:left="720"/>
      <w:contextualSpacing/>
    </w:pPr>
    <w:rPr>
      <w:rFonts w:ascii="Century Gothic" w:eastAsia="Times New Roman" w:hAnsi="Century Gothic" w:cs="Times New Roman"/>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rsid w:val="00E97C45"/>
    <w:rPr>
      <w:rFonts w:ascii="Century Gothic" w:eastAsia="Times New Roman" w:hAnsi="Century Gothic" w:cs="Times New Roman"/>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782704">
      <w:bodyDiv w:val="1"/>
      <w:marLeft w:val="0"/>
      <w:marRight w:val="0"/>
      <w:marTop w:val="0"/>
      <w:marBottom w:val="0"/>
      <w:divBdr>
        <w:top w:val="none" w:sz="0" w:space="0" w:color="auto"/>
        <w:left w:val="none" w:sz="0" w:space="0" w:color="auto"/>
        <w:bottom w:val="none" w:sz="0" w:space="0" w:color="auto"/>
        <w:right w:val="none" w:sz="0" w:space="0" w:color="auto"/>
      </w:divBdr>
    </w:div>
    <w:div w:id="509296431">
      <w:bodyDiv w:val="1"/>
      <w:marLeft w:val="0"/>
      <w:marRight w:val="0"/>
      <w:marTop w:val="0"/>
      <w:marBottom w:val="0"/>
      <w:divBdr>
        <w:top w:val="none" w:sz="0" w:space="0" w:color="auto"/>
        <w:left w:val="none" w:sz="0" w:space="0" w:color="auto"/>
        <w:bottom w:val="none" w:sz="0" w:space="0" w:color="auto"/>
        <w:right w:val="none" w:sz="0" w:space="0" w:color="auto"/>
      </w:divBdr>
    </w:div>
    <w:div w:id="2022966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1141</Words>
  <Characters>6281</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PONENCIA EAY</cp:lastModifiedBy>
  <cp:revision>5</cp:revision>
  <cp:lastPrinted>2018-12-11T23:27:00Z</cp:lastPrinted>
  <dcterms:created xsi:type="dcterms:W3CDTF">2019-01-11T20:32:00Z</dcterms:created>
  <dcterms:modified xsi:type="dcterms:W3CDTF">2019-02-15T21:00:00Z</dcterms:modified>
</cp:coreProperties>
</file>